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F554" w14:textId="73647C1A" w:rsidR="00B80FA8" w:rsidRDefault="00B80FA8" w:rsidP="00B80FA8">
      <w:pPr>
        <w:pStyle w:val="NoSpacing"/>
        <w:jc w:val="both"/>
        <w:rPr>
          <w:rFonts w:ascii="Calibri" w:hAnsi="Calibri" w:cs="Calibri"/>
          <w:sz w:val="24"/>
          <w:szCs w:val="24"/>
        </w:rPr>
      </w:pPr>
    </w:p>
    <w:p w14:paraId="70F9F1A5" w14:textId="75EF1B50" w:rsidR="00BA1546" w:rsidRDefault="00BA1546" w:rsidP="00B80FA8">
      <w:pPr>
        <w:pStyle w:val="NoSpacing"/>
        <w:jc w:val="both"/>
        <w:rPr>
          <w:rFonts w:ascii="Calibri" w:hAnsi="Calibri" w:cs="Calibri"/>
          <w:sz w:val="24"/>
          <w:szCs w:val="24"/>
        </w:rPr>
      </w:pPr>
    </w:p>
    <w:p w14:paraId="70F7BB41" w14:textId="77777777" w:rsidR="00BA1546" w:rsidRPr="00B80FA8" w:rsidRDefault="00BA1546" w:rsidP="00B80FA8">
      <w:pPr>
        <w:pStyle w:val="NoSpacing"/>
        <w:jc w:val="both"/>
        <w:rPr>
          <w:rFonts w:ascii="Calibri" w:hAnsi="Calibri" w:cs="Calibri"/>
          <w:sz w:val="24"/>
          <w:szCs w:val="24"/>
        </w:rPr>
      </w:pPr>
    </w:p>
    <w:p w14:paraId="6B8E83EF" w14:textId="77777777" w:rsidR="00B80FA8" w:rsidRPr="00B80FA8" w:rsidRDefault="00B80FA8" w:rsidP="00B80FA8">
      <w:pPr>
        <w:pStyle w:val="NoSpacing"/>
        <w:jc w:val="both"/>
        <w:rPr>
          <w:rFonts w:ascii="Calibri" w:hAnsi="Calibri" w:cs="Calibri"/>
          <w:sz w:val="24"/>
          <w:szCs w:val="24"/>
        </w:rPr>
      </w:pPr>
    </w:p>
    <w:p w14:paraId="556861A8" w14:textId="77777777" w:rsidR="00B80FA8" w:rsidRDefault="00B80FA8" w:rsidP="00B80FA8">
      <w:pPr>
        <w:pStyle w:val="NoSpacing"/>
        <w:jc w:val="both"/>
        <w:rPr>
          <w:rFonts w:ascii="Calibri" w:hAnsi="Calibri" w:cs="Calibri"/>
          <w:sz w:val="24"/>
          <w:szCs w:val="24"/>
        </w:rPr>
      </w:pPr>
    </w:p>
    <w:p w14:paraId="0DFEEF28" w14:textId="48BCB44D" w:rsid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A16482" w:rsidRPr="004A0E39" w14:paraId="21EC4F01" w14:textId="77777777" w:rsidTr="00B7511A">
        <w:trPr>
          <w:trHeight w:val="851"/>
          <w:jc w:val="center"/>
        </w:trPr>
        <w:tc>
          <w:tcPr>
            <w:tcW w:w="2977" w:type="dxa"/>
            <w:tcBorders>
              <w:top w:val="single" w:sz="4" w:space="0" w:color="595959" w:themeColor="text1" w:themeTint="A6"/>
              <w:bottom w:val="dotted" w:sz="4" w:space="0" w:color="808080" w:themeColor="background1" w:themeShade="80"/>
            </w:tcBorders>
            <w:shd w:val="clear" w:color="auto" w:fill="E36C0A" w:themeFill="accent6" w:themeFillShade="BF"/>
            <w:vAlign w:val="center"/>
          </w:tcPr>
          <w:p w14:paraId="5399E577" w14:textId="77777777" w:rsidR="00A16482" w:rsidRPr="004A0E39" w:rsidRDefault="00A16482" w:rsidP="00544CE4">
            <w:pPr>
              <w:pStyle w:val="NoSpacing"/>
              <w:rPr>
                <w:rFonts w:cstheme="minorHAnsi"/>
                <w:b/>
                <w:color w:val="FFFFFF" w:themeColor="background1"/>
                <w:sz w:val="24"/>
                <w:szCs w:val="24"/>
              </w:rPr>
            </w:pPr>
            <w:r w:rsidRPr="004A0E39">
              <w:rPr>
                <w:rFonts w:cstheme="minorHAnsi"/>
                <w:b/>
                <w:color w:val="FFFFFF" w:themeColor="background1"/>
                <w:sz w:val="24"/>
                <w:szCs w:val="24"/>
              </w:rPr>
              <w:t>DOCUMENT TITLE:</w:t>
            </w:r>
          </w:p>
        </w:tc>
        <w:tc>
          <w:tcPr>
            <w:tcW w:w="6452" w:type="dxa"/>
            <w:tcBorders>
              <w:top w:val="single" w:sz="4" w:space="0" w:color="595959" w:themeColor="text1" w:themeTint="A6"/>
              <w:bottom w:val="dotted" w:sz="4" w:space="0" w:color="808080" w:themeColor="background1" w:themeShade="80"/>
            </w:tcBorders>
            <w:shd w:val="clear" w:color="auto" w:fill="E36C0A" w:themeFill="accent6" w:themeFillShade="BF"/>
            <w:vAlign w:val="center"/>
          </w:tcPr>
          <w:p w14:paraId="5204EC5B" w14:textId="7B1CDD07" w:rsidR="00A16482" w:rsidRPr="004A0E39" w:rsidRDefault="007B0728" w:rsidP="00544CE4">
            <w:pPr>
              <w:pStyle w:val="NoSpacing"/>
              <w:rPr>
                <w:rFonts w:cstheme="minorHAnsi"/>
                <w:b/>
                <w:bCs/>
                <w:color w:val="FFFFFF" w:themeColor="background1"/>
                <w:sz w:val="24"/>
                <w:szCs w:val="24"/>
              </w:rPr>
            </w:pPr>
            <w:r w:rsidRPr="004A0E39">
              <w:rPr>
                <w:rFonts w:cstheme="minorHAnsi"/>
                <w:b/>
                <w:bCs/>
                <w:color w:val="FFFFFF" w:themeColor="background1"/>
                <w:sz w:val="24"/>
                <w:szCs w:val="24"/>
              </w:rPr>
              <w:t>Referral and Admissions.</w:t>
            </w:r>
          </w:p>
        </w:tc>
      </w:tr>
      <w:tr w:rsidR="0006101A" w:rsidRPr="004A0E39" w14:paraId="06C073EA" w14:textId="77777777" w:rsidTr="00544CE4">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019F9B14" w14:textId="77777777" w:rsidR="0006101A" w:rsidRPr="004A0E39" w:rsidRDefault="0006101A" w:rsidP="0006101A">
            <w:pPr>
              <w:pStyle w:val="NoSpacing"/>
              <w:rPr>
                <w:rFonts w:cstheme="minorHAnsi"/>
                <w:b/>
                <w:sz w:val="24"/>
                <w:szCs w:val="24"/>
              </w:rPr>
            </w:pPr>
            <w:r w:rsidRPr="004A0E39">
              <w:rPr>
                <w:rFonts w:cstheme="minorHAnsi"/>
                <w:b/>
                <w:sz w:val="24"/>
                <w:szCs w:val="24"/>
              </w:rPr>
              <w:t>CATEGORY:</w:t>
            </w:r>
          </w:p>
        </w:tc>
        <w:tc>
          <w:tcPr>
            <w:tcW w:w="6452" w:type="dxa"/>
            <w:vAlign w:val="center"/>
          </w:tcPr>
          <w:p w14:paraId="630D0D34" w14:textId="70A600E7" w:rsidR="0006101A" w:rsidRPr="004A0E39" w:rsidRDefault="007B0728" w:rsidP="0006101A">
            <w:pPr>
              <w:rPr>
                <w:rFonts w:asciiTheme="minorHAnsi" w:hAnsiTheme="minorHAnsi" w:cstheme="minorHAnsi"/>
              </w:rPr>
            </w:pPr>
            <w:r w:rsidRPr="004A0E39">
              <w:rPr>
                <w:rFonts w:asciiTheme="minorHAnsi" w:hAnsiTheme="minorHAnsi" w:cstheme="minorHAnsi"/>
              </w:rPr>
              <w:t>Operational.</w:t>
            </w:r>
          </w:p>
        </w:tc>
      </w:tr>
      <w:tr w:rsidR="0006101A" w:rsidRPr="004A0E39" w14:paraId="3EC022E4" w14:textId="77777777" w:rsidTr="00544CE4">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202B85CB" w14:textId="77777777" w:rsidR="0006101A" w:rsidRPr="004A0E39" w:rsidRDefault="0006101A" w:rsidP="0006101A">
            <w:pPr>
              <w:pStyle w:val="NoSpacing"/>
              <w:rPr>
                <w:rFonts w:cstheme="minorHAnsi"/>
                <w:b/>
                <w:sz w:val="24"/>
                <w:szCs w:val="24"/>
              </w:rPr>
            </w:pPr>
          </w:p>
          <w:p w14:paraId="40B86F8C" w14:textId="77777777" w:rsidR="0006101A" w:rsidRPr="004A0E39" w:rsidRDefault="0006101A" w:rsidP="0006101A">
            <w:pPr>
              <w:pStyle w:val="NoSpacing"/>
              <w:rPr>
                <w:rFonts w:cstheme="minorHAnsi"/>
                <w:b/>
                <w:sz w:val="24"/>
                <w:szCs w:val="24"/>
              </w:rPr>
            </w:pPr>
            <w:r w:rsidRPr="004A0E39">
              <w:rPr>
                <w:rFonts w:cstheme="minorHAnsi"/>
                <w:b/>
                <w:sz w:val="24"/>
                <w:szCs w:val="24"/>
              </w:rPr>
              <w:t>LAST REVISED:</w:t>
            </w:r>
          </w:p>
          <w:p w14:paraId="7E9C2D8A" w14:textId="77777777" w:rsidR="0006101A" w:rsidRPr="004A0E39" w:rsidRDefault="0006101A" w:rsidP="0006101A">
            <w:pPr>
              <w:pStyle w:val="NoSpacing"/>
              <w:rPr>
                <w:rFonts w:cstheme="minorHAnsi"/>
                <w:b/>
                <w:sz w:val="24"/>
                <w:szCs w:val="24"/>
              </w:rPr>
            </w:pPr>
          </w:p>
        </w:tc>
        <w:tc>
          <w:tcPr>
            <w:tcW w:w="6452" w:type="dxa"/>
            <w:vAlign w:val="center"/>
          </w:tcPr>
          <w:p w14:paraId="488C059D" w14:textId="463DA56A" w:rsidR="0006101A" w:rsidRPr="004A0E39" w:rsidRDefault="00C74D09" w:rsidP="0006101A">
            <w:pPr>
              <w:rPr>
                <w:rFonts w:asciiTheme="minorHAnsi" w:hAnsiTheme="minorHAnsi" w:cstheme="minorHAnsi"/>
              </w:rPr>
            </w:pPr>
            <w:r w:rsidRPr="004A0E39">
              <w:rPr>
                <w:rFonts w:asciiTheme="minorHAnsi" w:hAnsiTheme="minorHAnsi" w:cstheme="minorHAnsi"/>
              </w:rPr>
              <w:t>December</w:t>
            </w:r>
            <w:r w:rsidR="007B0728" w:rsidRPr="004A0E39">
              <w:rPr>
                <w:rFonts w:asciiTheme="minorHAnsi" w:hAnsiTheme="minorHAnsi" w:cstheme="minorHAnsi"/>
              </w:rPr>
              <w:t xml:space="preserve"> 2022</w:t>
            </w:r>
          </w:p>
        </w:tc>
      </w:tr>
      <w:tr w:rsidR="0006101A" w:rsidRPr="004A0E39" w14:paraId="3EE68C7F" w14:textId="77777777" w:rsidTr="00544CE4">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6C0749E9" w14:textId="77777777" w:rsidR="0006101A" w:rsidRPr="004A0E39" w:rsidRDefault="0006101A" w:rsidP="0006101A">
            <w:pPr>
              <w:pStyle w:val="NoSpacing"/>
              <w:rPr>
                <w:rFonts w:cstheme="minorHAnsi"/>
                <w:b/>
                <w:sz w:val="24"/>
                <w:szCs w:val="24"/>
              </w:rPr>
            </w:pPr>
            <w:r w:rsidRPr="004A0E39">
              <w:rPr>
                <w:rFonts w:cstheme="minorHAnsi"/>
                <w:b/>
                <w:sz w:val="24"/>
                <w:szCs w:val="24"/>
              </w:rPr>
              <w:t>VERSION:</w:t>
            </w:r>
          </w:p>
        </w:tc>
        <w:tc>
          <w:tcPr>
            <w:tcW w:w="6452" w:type="dxa"/>
            <w:vAlign w:val="center"/>
          </w:tcPr>
          <w:p w14:paraId="6EAB5B9D" w14:textId="22FF91B5" w:rsidR="0006101A" w:rsidRPr="004A0E39" w:rsidRDefault="0006101A" w:rsidP="0006101A">
            <w:pPr>
              <w:rPr>
                <w:rFonts w:asciiTheme="minorHAnsi" w:hAnsiTheme="minorHAnsi" w:cstheme="minorHAnsi"/>
              </w:rPr>
            </w:pPr>
            <w:r w:rsidRPr="004A0E39">
              <w:rPr>
                <w:rFonts w:asciiTheme="minorHAnsi" w:hAnsiTheme="minorHAnsi" w:cstheme="minorHAnsi"/>
              </w:rPr>
              <w:t>1.</w:t>
            </w:r>
            <w:r w:rsidR="00D06DC2" w:rsidRPr="004A0E39">
              <w:rPr>
                <w:rFonts w:asciiTheme="minorHAnsi" w:hAnsiTheme="minorHAnsi" w:cstheme="minorHAnsi"/>
              </w:rPr>
              <w:t>1</w:t>
            </w:r>
          </w:p>
        </w:tc>
      </w:tr>
      <w:tr w:rsidR="0006101A" w:rsidRPr="004A0E39" w14:paraId="27DA8253" w14:textId="77777777" w:rsidTr="00544CE4">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2DA8C4B9" w14:textId="77777777" w:rsidR="0006101A" w:rsidRPr="004A0E39" w:rsidRDefault="0006101A" w:rsidP="0006101A">
            <w:pPr>
              <w:pStyle w:val="NoSpacing"/>
              <w:rPr>
                <w:rFonts w:cstheme="minorHAnsi"/>
                <w:b/>
                <w:sz w:val="24"/>
                <w:szCs w:val="24"/>
              </w:rPr>
            </w:pPr>
            <w:r w:rsidRPr="004A0E39">
              <w:rPr>
                <w:rFonts w:cstheme="minorHAnsi"/>
                <w:b/>
                <w:sz w:val="24"/>
                <w:szCs w:val="24"/>
              </w:rPr>
              <w:t>DUE FOR REVISION:</w:t>
            </w:r>
          </w:p>
        </w:tc>
        <w:tc>
          <w:tcPr>
            <w:tcW w:w="6452" w:type="dxa"/>
            <w:vAlign w:val="center"/>
          </w:tcPr>
          <w:p w14:paraId="3E8FA5DA" w14:textId="0BD47C2C" w:rsidR="0006101A" w:rsidRPr="004A0E39" w:rsidRDefault="007B0728" w:rsidP="0006101A">
            <w:pPr>
              <w:rPr>
                <w:rFonts w:asciiTheme="minorHAnsi" w:hAnsiTheme="minorHAnsi" w:cstheme="minorHAnsi"/>
              </w:rPr>
            </w:pPr>
            <w:r w:rsidRPr="004A0E39">
              <w:rPr>
                <w:rFonts w:asciiTheme="minorHAnsi" w:hAnsiTheme="minorHAnsi" w:cstheme="minorHAnsi"/>
              </w:rPr>
              <w:t xml:space="preserve">November </w:t>
            </w:r>
            <w:r w:rsidR="00B7511A" w:rsidRPr="004A0E39">
              <w:rPr>
                <w:rFonts w:asciiTheme="minorHAnsi" w:hAnsiTheme="minorHAnsi" w:cstheme="minorHAnsi"/>
              </w:rPr>
              <w:t>2024</w:t>
            </w:r>
          </w:p>
        </w:tc>
      </w:tr>
      <w:tr w:rsidR="0006101A" w:rsidRPr="004A0E39" w14:paraId="15EAB3FF" w14:textId="77777777" w:rsidTr="00544CE4">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04C673BC" w14:textId="77777777" w:rsidR="0006101A" w:rsidRPr="004A0E39" w:rsidRDefault="0006101A" w:rsidP="0006101A">
            <w:pPr>
              <w:pStyle w:val="NoSpacing"/>
              <w:rPr>
                <w:rFonts w:cstheme="minorHAnsi"/>
                <w:b/>
                <w:sz w:val="24"/>
                <w:szCs w:val="24"/>
              </w:rPr>
            </w:pPr>
          </w:p>
          <w:p w14:paraId="4C52B502" w14:textId="77777777" w:rsidR="0006101A" w:rsidRPr="004A0E39" w:rsidRDefault="0006101A" w:rsidP="0006101A">
            <w:pPr>
              <w:pStyle w:val="NoSpacing"/>
              <w:rPr>
                <w:rFonts w:cstheme="minorHAnsi"/>
                <w:b/>
                <w:sz w:val="24"/>
                <w:szCs w:val="24"/>
              </w:rPr>
            </w:pPr>
            <w:r w:rsidRPr="004A0E39">
              <w:rPr>
                <w:rFonts w:cstheme="minorHAnsi"/>
                <w:b/>
                <w:sz w:val="24"/>
                <w:szCs w:val="24"/>
              </w:rPr>
              <w:t>OWNED BY:</w:t>
            </w:r>
          </w:p>
          <w:p w14:paraId="1BF6F308" w14:textId="77777777" w:rsidR="0006101A" w:rsidRPr="004A0E39" w:rsidRDefault="0006101A" w:rsidP="0006101A">
            <w:pPr>
              <w:pStyle w:val="NoSpacing"/>
              <w:rPr>
                <w:rFonts w:cstheme="minorHAnsi"/>
                <w:b/>
                <w:sz w:val="24"/>
                <w:szCs w:val="24"/>
              </w:rPr>
            </w:pPr>
          </w:p>
        </w:tc>
        <w:tc>
          <w:tcPr>
            <w:tcW w:w="6452" w:type="dxa"/>
            <w:vAlign w:val="center"/>
          </w:tcPr>
          <w:p w14:paraId="6BD6438F" w14:textId="7390DB85" w:rsidR="0006101A" w:rsidRPr="004A0E39" w:rsidRDefault="00C74D09" w:rsidP="0006101A">
            <w:pPr>
              <w:rPr>
                <w:rFonts w:asciiTheme="minorHAnsi" w:hAnsiTheme="minorHAnsi" w:cstheme="minorHAnsi"/>
              </w:rPr>
            </w:pPr>
            <w:r w:rsidRPr="004A0E39">
              <w:rPr>
                <w:rFonts w:asciiTheme="minorHAnsi" w:hAnsiTheme="minorHAnsi" w:cstheme="minorHAnsi"/>
              </w:rPr>
              <w:t>Darren Lang</w:t>
            </w:r>
          </w:p>
        </w:tc>
      </w:tr>
      <w:tr w:rsidR="0006101A" w:rsidRPr="004A0E39" w14:paraId="41C6F346" w14:textId="77777777" w:rsidTr="00544CE4">
        <w:trPr>
          <w:trHeight w:val="567"/>
          <w:jc w:val="center"/>
        </w:trPr>
        <w:tc>
          <w:tcPr>
            <w:tcW w:w="2977" w:type="dxa"/>
            <w:tcBorders>
              <w:top w:val="dotted" w:sz="4" w:space="0" w:color="808080" w:themeColor="background1" w:themeShade="80"/>
              <w:bottom w:val="single" w:sz="4" w:space="0" w:color="auto"/>
            </w:tcBorders>
            <w:shd w:val="clear" w:color="auto" w:fill="F2F2F2" w:themeFill="background1" w:themeFillShade="F2"/>
            <w:vAlign w:val="center"/>
          </w:tcPr>
          <w:p w14:paraId="6807F89A" w14:textId="77777777" w:rsidR="0006101A" w:rsidRPr="004A0E39" w:rsidRDefault="0006101A" w:rsidP="0006101A">
            <w:pPr>
              <w:pStyle w:val="NoSpacing"/>
              <w:rPr>
                <w:rFonts w:cstheme="minorHAnsi"/>
                <w:b/>
                <w:sz w:val="24"/>
                <w:szCs w:val="24"/>
              </w:rPr>
            </w:pPr>
          </w:p>
          <w:p w14:paraId="14D92A47" w14:textId="77777777" w:rsidR="0006101A" w:rsidRPr="004A0E39" w:rsidRDefault="0006101A" w:rsidP="0006101A">
            <w:pPr>
              <w:pStyle w:val="NoSpacing"/>
              <w:rPr>
                <w:rFonts w:cstheme="minorHAnsi"/>
                <w:b/>
                <w:sz w:val="24"/>
                <w:szCs w:val="24"/>
              </w:rPr>
            </w:pPr>
            <w:r w:rsidRPr="004A0E39">
              <w:rPr>
                <w:rFonts w:cstheme="minorHAnsi"/>
                <w:b/>
                <w:sz w:val="24"/>
                <w:szCs w:val="24"/>
              </w:rPr>
              <w:t>RELATED DOCUMENTS:</w:t>
            </w:r>
          </w:p>
          <w:p w14:paraId="6A37A2B5" w14:textId="77777777" w:rsidR="0006101A" w:rsidRPr="004A0E39" w:rsidRDefault="0006101A" w:rsidP="0006101A">
            <w:pPr>
              <w:pStyle w:val="NoSpacing"/>
              <w:rPr>
                <w:rFonts w:cstheme="minorHAnsi"/>
                <w:b/>
                <w:sz w:val="24"/>
                <w:szCs w:val="24"/>
              </w:rPr>
            </w:pPr>
          </w:p>
        </w:tc>
        <w:tc>
          <w:tcPr>
            <w:tcW w:w="6452" w:type="dxa"/>
            <w:vAlign w:val="center"/>
          </w:tcPr>
          <w:p w14:paraId="2B1907C5" w14:textId="578243C7" w:rsidR="00D06DC2" w:rsidRPr="004A0E39" w:rsidRDefault="00D06DC2" w:rsidP="0006101A">
            <w:pPr>
              <w:pStyle w:val="NoSpacing"/>
              <w:rPr>
                <w:rFonts w:cstheme="minorHAnsi"/>
                <w:sz w:val="24"/>
                <w:szCs w:val="24"/>
              </w:rPr>
            </w:pPr>
          </w:p>
          <w:p w14:paraId="5A08958E" w14:textId="5E8F48B8" w:rsidR="00D06DC2" w:rsidRPr="004A0E39" w:rsidRDefault="007B0728" w:rsidP="0006101A">
            <w:pPr>
              <w:pStyle w:val="NoSpacing"/>
              <w:rPr>
                <w:rFonts w:cstheme="minorHAnsi"/>
                <w:sz w:val="24"/>
                <w:szCs w:val="24"/>
              </w:rPr>
            </w:pPr>
            <w:r w:rsidRPr="004A0E39">
              <w:rPr>
                <w:rFonts w:cstheme="minorHAnsi"/>
                <w:sz w:val="24"/>
                <w:szCs w:val="24"/>
              </w:rPr>
              <w:t>Safeguarding</w:t>
            </w:r>
            <w:r w:rsidR="006E02CD">
              <w:rPr>
                <w:rFonts w:cstheme="minorHAnsi"/>
                <w:sz w:val="24"/>
                <w:szCs w:val="24"/>
              </w:rPr>
              <w:t xml:space="preserve"> procedure</w:t>
            </w:r>
          </w:p>
          <w:p w14:paraId="7369ED71" w14:textId="24C4D5A3" w:rsidR="0006101A" w:rsidRPr="004A0E39" w:rsidRDefault="006E02CD" w:rsidP="002B571E">
            <w:pPr>
              <w:rPr>
                <w:rFonts w:asciiTheme="minorHAnsi" w:hAnsiTheme="minorHAnsi" w:cstheme="minorHAnsi"/>
              </w:rPr>
            </w:pPr>
            <w:r>
              <w:rPr>
                <w:rFonts w:asciiTheme="minorHAnsi" w:hAnsiTheme="minorHAnsi" w:cstheme="minorHAnsi"/>
              </w:rPr>
              <w:t>Exiting a client procedure</w:t>
            </w:r>
          </w:p>
        </w:tc>
      </w:tr>
    </w:tbl>
    <w:p w14:paraId="588EFE31" w14:textId="77777777" w:rsidR="00B80FA8" w:rsidRPr="004A0E39" w:rsidRDefault="00B80FA8" w:rsidP="00B80FA8">
      <w:pPr>
        <w:pStyle w:val="NoSpacing"/>
        <w:jc w:val="both"/>
        <w:rPr>
          <w:rFonts w:cstheme="minorHAns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BA1546" w:rsidRPr="004A0E39" w14:paraId="7D409809" w14:textId="77777777" w:rsidTr="00544CE4">
        <w:trPr>
          <w:trHeight w:val="567"/>
          <w:jc w:val="center"/>
        </w:trPr>
        <w:tc>
          <w:tcPr>
            <w:tcW w:w="2977" w:type="dxa"/>
            <w:tcBorders>
              <w:top w:val="single" w:sz="4" w:space="0" w:color="auto"/>
              <w:bottom w:val="dotted" w:sz="4" w:space="0" w:color="808080" w:themeColor="background1" w:themeShade="80"/>
            </w:tcBorders>
            <w:shd w:val="clear" w:color="auto" w:fill="F2F2F2" w:themeFill="background1" w:themeFillShade="F2"/>
            <w:vAlign w:val="center"/>
          </w:tcPr>
          <w:p w14:paraId="50CAD546" w14:textId="77777777" w:rsidR="00BA1546" w:rsidRPr="004A0E39" w:rsidRDefault="00BA1546" w:rsidP="00544CE4">
            <w:pPr>
              <w:pStyle w:val="NoSpacing"/>
              <w:rPr>
                <w:rFonts w:cstheme="minorHAnsi"/>
                <w:b/>
                <w:sz w:val="24"/>
                <w:szCs w:val="24"/>
              </w:rPr>
            </w:pPr>
          </w:p>
          <w:p w14:paraId="1064D02D" w14:textId="582CC5BB" w:rsidR="00BA1546" w:rsidRPr="004A0E39" w:rsidRDefault="00BA1546" w:rsidP="00544CE4">
            <w:pPr>
              <w:pStyle w:val="NoSpacing"/>
              <w:rPr>
                <w:rFonts w:cstheme="minorHAnsi"/>
                <w:b/>
                <w:sz w:val="24"/>
                <w:szCs w:val="24"/>
              </w:rPr>
            </w:pPr>
            <w:r w:rsidRPr="004A0E39">
              <w:rPr>
                <w:rFonts w:cstheme="minorHAnsi"/>
                <w:b/>
                <w:sz w:val="24"/>
                <w:szCs w:val="24"/>
              </w:rPr>
              <w:t xml:space="preserve">OUR </w:t>
            </w:r>
            <w:r w:rsidR="00B7511A" w:rsidRPr="004A0E39">
              <w:rPr>
                <w:rFonts w:cstheme="minorHAnsi"/>
                <w:b/>
                <w:sz w:val="24"/>
                <w:szCs w:val="24"/>
              </w:rPr>
              <w:t>VISION</w:t>
            </w:r>
            <w:r w:rsidRPr="004A0E39">
              <w:rPr>
                <w:rFonts w:cstheme="minorHAnsi"/>
                <w:b/>
                <w:sz w:val="24"/>
                <w:szCs w:val="24"/>
              </w:rPr>
              <w:t>:</w:t>
            </w:r>
          </w:p>
          <w:p w14:paraId="0692F77D" w14:textId="77777777" w:rsidR="00BA1546" w:rsidRPr="004A0E39" w:rsidRDefault="00BA1546" w:rsidP="00544CE4">
            <w:pPr>
              <w:pStyle w:val="NoSpacing"/>
              <w:rPr>
                <w:rFonts w:cstheme="minorHAnsi"/>
                <w:b/>
                <w:sz w:val="24"/>
                <w:szCs w:val="24"/>
              </w:rPr>
            </w:pPr>
          </w:p>
        </w:tc>
        <w:tc>
          <w:tcPr>
            <w:tcW w:w="6452" w:type="dxa"/>
            <w:vAlign w:val="center"/>
          </w:tcPr>
          <w:p w14:paraId="1111ADA2" w14:textId="53C40641" w:rsidR="00BA1546" w:rsidRPr="004A0E39" w:rsidRDefault="00B7511A" w:rsidP="00544CE4">
            <w:pPr>
              <w:rPr>
                <w:rFonts w:asciiTheme="minorHAnsi" w:hAnsiTheme="minorHAnsi" w:cstheme="minorHAnsi"/>
                <w:color w:val="000000" w:themeColor="text1"/>
              </w:rPr>
            </w:pPr>
            <w:r w:rsidRPr="004A0E39">
              <w:rPr>
                <w:rFonts w:asciiTheme="minorHAnsi" w:eastAsia="Times New Roman" w:hAnsiTheme="minorHAnsi" w:cstheme="minorHAnsi"/>
                <w:color w:val="000000"/>
              </w:rPr>
              <w:t xml:space="preserve">Through commitment, creativity and expertise, Acorn will inspire and motivates change within communities and future generations by enabling individuals to achieve a Life Worth Living </w:t>
            </w:r>
            <w:r w:rsidRPr="004A0E39">
              <w:rPr>
                <w:rFonts w:asciiTheme="minorHAnsi" w:hAnsiTheme="minorHAnsi" w:cstheme="minorHAnsi"/>
              </w:rPr>
              <w:t xml:space="preserve">  </w:t>
            </w:r>
          </w:p>
          <w:p w14:paraId="6E3EE0BD" w14:textId="77777777" w:rsidR="00BA1546" w:rsidRPr="004A0E39" w:rsidRDefault="00BA1546" w:rsidP="00544CE4">
            <w:pPr>
              <w:rPr>
                <w:rFonts w:asciiTheme="minorHAnsi" w:hAnsiTheme="minorHAnsi" w:cstheme="minorHAnsi"/>
              </w:rPr>
            </w:pPr>
          </w:p>
        </w:tc>
      </w:tr>
    </w:tbl>
    <w:p w14:paraId="1BC61D45" w14:textId="77777777" w:rsidR="00A16482" w:rsidRPr="004A0E39" w:rsidRDefault="00A16482" w:rsidP="00B80FA8">
      <w:pPr>
        <w:pStyle w:val="NoSpacing"/>
        <w:jc w:val="both"/>
        <w:rPr>
          <w:rFonts w:cstheme="minorHAnsi"/>
          <w:sz w:val="24"/>
          <w:szCs w:val="24"/>
        </w:rPr>
      </w:pPr>
    </w:p>
    <w:p w14:paraId="5FFCF75C" w14:textId="71E80F7B" w:rsidR="00B80FA8" w:rsidRPr="004A0E39" w:rsidRDefault="00B7511A" w:rsidP="00B7511A">
      <w:pPr>
        <w:pStyle w:val="NoSpacing"/>
        <w:tabs>
          <w:tab w:val="left" w:pos="3135"/>
        </w:tabs>
        <w:jc w:val="both"/>
        <w:rPr>
          <w:rFonts w:cstheme="minorHAnsi"/>
          <w:sz w:val="24"/>
          <w:szCs w:val="24"/>
        </w:rPr>
      </w:pPr>
      <w:r w:rsidRPr="004A0E39">
        <w:rPr>
          <w:rFonts w:cstheme="minorHAnsi"/>
          <w:sz w:val="24"/>
          <w:szCs w:val="24"/>
        </w:rPr>
        <w:tab/>
      </w:r>
    </w:p>
    <w:p w14:paraId="48EB8F0B" w14:textId="77777777" w:rsidR="00D06DC2" w:rsidRPr="004A0E39" w:rsidRDefault="00D06DC2" w:rsidP="00B7511A">
      <w:pPr>
        <w:pStyle w:val="NoSpacing"/>
        <w:shd w:val="clear" w:color="auto" w:fill="E36C0A" w:themeFill="accent6" w:themeFillShade="BF"/>
        <w:jc w:val="both"/>
        <w:rPr>
          <w:rFonts w:cstheme="minorHAnsi"/>
          <w:sz w:val="24"/>
          <w:szCs w:val="24"/>
        </w:rPr>
      </w:pPr>
    </w:p>
    <w:p w14:paraId="177A159F" w14:textId="34894EB0" w:rsidR="0006101A" w:rsidRPr="004A0E39" w:rsidRDefault="0006101A" w:rsidP="00B7511A">
      <w:pPr>
        <w:shd w:val="clear" w:color="auto" w:fill="E36C0A" w:themeFill="accent6" w:themeFillShade="BF"/>
        <w:spacing w:after="0" w:line="240" w:lineRule="auto"/>
        <w:rPr>
          <w:rFonts w:asciiTheme="minorHAnsi" w:eastAsiaTheme="minorHAnsi" w:hAnsiTheme="minorHAnsi" w:cstheme="minorHAnsi"/>
          <w:b/>
          <w:color w:val="FFFFFF" w:themeColor="background1"/>
        </w:rPr>
      </w:pPr>
      <w:r w:rsidRPr="004A0E39">
        <w:rPr>
          <w:rFonts w:asciiTheme="minorHAnsi" w:eastAsiaTheme="minorHAnsi" w:hAnsiTheme="minorHAnsi" w:cstheme="minorHAnsi"/>
          <w:b/>
          <w:color w:val="FFFFFF" w:themeColor="background1"/>
        </w:rPr>
        <w:t>Overvie</w:t>
      </w:r>
      <w:r w:rsidR="004A0E39">
        <w:rPr>
          <w:rFonts w:asciiTheme="minorHAnsi" w:eastAsiaTheme="minorHAnsi" w:hAnsiTheme="minorHAnsi" w:cstheme="minorHAnsi"/>
          <w:b/>
          <w:color w:val="FFFFFF" w:themeColor="background1"/>
        </w:rPr>
        <w:t>w</w:t>
      </w:r>
    </w:p>
    <w:p w14:paraId="1FF7706C" w14:textId="77777777" w:rsidR="0082766F" w:rsidRPr="004A0E39" w:rsidRDefault="0082766F" w:rsidP="0082766F">
      <w:pPr>
        <w:autoSpaceDE w:val="0"/>
        <w:autoSpaceDN w:val="0"/>
        <w:adjustRightInd w:val="0"/>
        <w:spacing w:after="0" w:line="240" w:lineRule="auto"/>
        <w:rPr>
          <w:rFonts w:asciiTheme="minorHAnsi" w:hAnsiTheme="minorHAnsi" w:cstheme="minorHAnsi"/>
        </w:rPr>
      </w:pPr>
    </w:p>
    <w:tbl>
      <w:tblPr>
        <w:tblStyle w:val="TableGrid"/>
        <w:tblW w:w="10206" w:type="dxa"/>
        <w:tblInd w:w="-5" w:type="dxa"/>
        <w:tblLayout w:type="fixed"/>
        <w:tblLook w:val="04A0" w:firstRow="1" w:lastRow="0" w:firstColumn="1" w:lastColumn="0" w:noHBand="0" w:noVBand="1"/>
      </w:tblPr>
      <w:tblGrid>
        <w:gridCol w:w="5075"/>
        <w:gridCol w:w="5131"/>
      </w:tblGrid>
      <w:tr w:rsidR="0079002C" w:rsidRPr="004A0E39" w14:paraId="65FB9917" w14:textId="77777777" w:rsidTr="0006101A">
        <w:tc>
          <w:tcPr>
            <w:tcW w:w="5075" w:type="dxa"/>
          </w:tcPr>
          <w:p w14:paraId="16DAABCD" w14:textId="3D0995D3" w:rsidR="0079002C" w:rsidRPr="004A0E39" w:rsidRDefault="005812B7" w:rsidP="0006101A">
            <w:pPr>
              <w:rPr>
                <w:rFonts w:asciiTheme="minorHAnsi" w:eastAsia="Times New Roman" w:hAnsiTheme="minorHAnsi" w:cstheme="minorHAnsi"/>
                <w:b/>
                <w:bCs/>
                <w:lang w:eastAsia="en-GB"/>
              </w:rPr>
            </w:pPr>
            <w:r w:rsidRPr="004A0E39">
              <w:rPr>
                <w:rFonts w:asciiTheme="minorHAnsi" w:eastAsia="Times New Roman" w:hAnsiTheme="minorHAnsi" w:cstheme="minorHAnsi"/>
                <w:b/>
                <w:bCs/>
                <w:lang w:eastAsia="en-GB"/>
              </w:rPr>
              <w:t>Key principles.</w:t>
            </w:r>
          </w:p>
        </w:tc>
        <w:tc>
          <w:tcPr>
            <w:tcW w:w="5131" w:type="dxa"/>
          </w:tcPr>
          <w:p w14:paraId="0E29AF0A" w14:textId="33E26474" w:rsidR="00BA4B15" w:rsidRPr="004A0E39" w:rsidRDefault="007B0728" w:rsidP="007F1D50">
            <w:pPr>
              <w:rPr>
                <w:rFonts w:asciiTheme="minorHAnsi" w:hAnsiTheme="minorHAnsi" w:cstheme="minorHAnsi"/>
                <w:color w:val="000000"/>
              </w:rPr>
            </w:pPr>
            <w:r w:rsidRPr="004A0E39">
              <w:rPr>
                <w:rFonts w:asciiTheme="minorHAnsi" w:hAnsiTheme="minorHAnsi" w:cstheme="minorHAnsi"/>
                <w:color w:val="000000"/>
              </w:rPr>
              <w:t xml:space="preserve">A thorough assessment and risk </w:t>
            </w:r>
            <w:r w:rsidR="00511041" w:rsidRPr="004A0E39">
              <w:rPr>
                <w:rFonts w:asciiTheme="minorHAnsi" w:hAnsiTheme="minorHAnsi" w:cstheme="minorHAnsi"/>
                <w:color w:val="000000"/>
              </w:rPr>
              <w:t xml:space="preserve">assessment </w:t>
            </w:r>
            <w:r w:rsidRPr="004A0E39">
              <w:rPr>
                <w:rFonts w:asciiTheme="minorHAnsi" w:hAnsiTheme="minorHAnsi" w:cstheme="minorHAnsi"/>
                <w:color w:val="000000"/>
              </w:rPr>
              <w:t>i</w:t>
            </w:r>
            <w:r w:rsidR="00511041" w:rsidRPr="004A0E39">
              <w:rPr>
                <w:rFonts w:asciiTheme="minorHAnsi" w:hAnsiTheme="minorHAnsi" w:cstheme="minorHAnsi"/>
                <w:color w:val="000000"/>
              </w:rPr>
              <w:t xml:space="preserve">s </w:t>
            </w:r>
            <w:r w:rsidRPr="004A0E39">
              <w:rPr>
                <w:rFonts w:asciiTheme="minorHAnsi" w:hAnsiTheme="minorHAnsi" w:cstheme="minorHAnsi"/>
                <w:color w:val="000000"/>
              </w:rPr>
              <w:t>completed which provides information about the service, assess motivation to access treatment and gather information about risk, to ensure any risks can be managed.</w:t>
            </w:r>
          </w:p>
          <w:p w14:paraId="5DFDA04D" w14:textId="506E59D1" w:rsidR="00BA4B15" w:rsidRPr="004A0E39" w:rsidRDefault="00BA4B15" w:rsidP="007B4367">
            <w:pPr>
              <w:pStyle w:val="NoSpacing"/>
              <w:rPr>
                <w:rFonts w:cstheme="minorHAnsi"/>
                <w:sz w:val="24"/>
                <w:szCs w:val="24"/>
              </w:rPr>
            </w:pPr>
          </w:p>
        </w:tc>
      </w:tr>
      <w:tr w:rsidR="0006101A" w:rsidRPr="004A0E39" w14:paraId="6AEB850B" w14:textId="77777777" w:rsidTr="0006101A">
        <w:tc>
          <w:tcPr>
            <w:tcW w:w="5075" w:type="dxa"/>
          </w:tcPr>
          <w:p w14:paraId="59D0568F" w14:textId="11DA1424" w:rsidR="009256DE" w:rsidRPr="004A0E39" w:rsidRDefault="00FE1D9A" w:rsidP="0006101A">
            <w:pPr>
              <w:rPr>
                <w:rFonts w:asciiTheme="minorHAnsi" w:eastAsia="Times New Roman" w:hAnsiTheme="minorHAnsi" w:cstheme="minorHAnsi"/>
                <w:b/>
                <w:bCs/>
                <w:lang w:eastAsia="en-GB"/>
              </w:rPr>
            </w:pPr>
            <w:r w:rsidRPr="004A0E39">
              <w:rPr>
                <w:rFonts w:asciiTheme="minorHAnsi" w:eastAsia="Times New Roman" w:hAnsiTheme="minorHAnsi" w:cstheme="minorHAnsi"/>
                <w:b/>
                <w:bCs/>
                <w:lang w:eastAsia="en-GB"/>
              </w:rPr>
              <w:t>Applicable to</w:t>
            </w:r>
            <w:r w:rsidR="004A4CE3" w:rsidRPr="004A0E39">
              <w:rPr>
                <w:rFonts w:asciiTheme="minorHAnsi" w:eastAsia="Times New Roman" w:hAnsiTheme="minorHAnsi" w:cstheme="minorHAnsi"/>
                <w:b/>
                <w:bCs/>
                <w:lang w:eastAsia="en-GB"/>
              </w:rPr>
              <w:t xml:space="preserve"> </w:t>
            </w:r>
            <w:r w:rsidR="004A0E39" w:rsidRPr="004A0E39">
              <w:rPr>
                <w:rFonts w:asciiTheme="minorHAnsi" w:eastAsia="Times New Roman" w:hAnsiTheme="minorHAnsi" w:cstheme="minorHAnsi"/>
                <w:b/>
                <w:bCs/>
                <w:lang w:eastAsia="en-GB"/>
              </w:rPr>
              <w:t>– Supported</w:t>
            </w:r>
            <w:r w:rsidR="00C74D09" w:rsidRPr="004A0E39">
              <w:rPr>
                <w:rFonts w:asciiTheme="minorHAnsi" w:eastAsia="Times New Roman" w:hAnsiTheme="minorHAnsi" w:cstheme="minorHAnsi"/>
                <w:b/>
                <w:bCs/>
                <w:lang w:eastAsia="en-GB"/>
              </w:rPr>
              <w:t xml:space="preserve"> Housing</w:t>
            </w:r>
            <w:r w:rsidR="004A4CE3" w:rsidRPr="004A0E39">
              <w:rPr>
                <w:rFonts w:asciiTheme="minorHAnsi" w:eastAsia="Times New Roman" w:hAnsiTheme="minorHAnsi" w:cstheme="minorHAnsi"/>
                <w:b/>
                <w:bCs/>
                <w:lang w:eastAsia="en-GB"/>
              </w:rPr>
              <w:t>.</w:t>
            </w:r>
          </w:p>
          <w:p w14:paraId="0E18D70D" w14:textId="77777777" w:rsidR="009256DE" w:rsidRPr="004A0E39" w:rsidRDefault="009256DE" w:rsidP="0006101A">
            <w:pPr>
              <w:rPr>
                <w:rFonts w:asciiTheme="minorHAnsi" w:eastAsia="Times New Roman" w:hAnsiTheme="minorHAnsi" w:cstheme="minorHAnsi"/>
                <w:lang w:eastAsia="en-GB"/>
              </w:rPr>
            </w:pPr>
          </w:p>
          <w:p w14:paraId="70E9E94C" w14:textId="77777777" w:rsidR="009256DE" w:rsidRPr="004A0E39" w:rsidRDefault="009256DE" w:rsidP="0006101A">
            <w:pPr>
              <w:rPr>
                <w:rFonts w:asciiTheme="minorHAnsi" w:eastAsia="Times New Roman" w:hAnsiTheme="minorHAnsi" w:cstheme="minorHAnsi"/>
                <w:lang w:eastAsia="en-GB"/>
              </w:rPr>
            </w:pPr>
          </w:p>
          <w:p w14:paraId="26FEDA8D" w14:textId="48C4BDFA" w:rsidR="000422A3" w:rsidRPr="004A0E39" w:rsidRDefault="000422A3" w:rsidP="004A4CE3">
            <w:pPr>
              <w:rPr>
                <w:rFonts w:asciiTheme="minorHAnsi" w:eastAsia="Times New Roman" w:hAnsiTheme="minorHAnsi" w:cstheme="minorHAnsi"/>
                <w:lang w:eastAsia="en-GB"/>
              </w:rPr>
            </w:pPr>
          </w:p>
        </w:tc>
        <w:tc>
          <w:tcPr>
            <w:tcW w:w="5131" w:type="dxa"/>
          </w:tcPr>
          <w:p w14:paraId="008A5F26" w14:textId="0E3CF0A3" w:rsidR="00AE3334" w:rsidRPr="004A0E39" w:rsidRDefault="00AE3334" w:rsidP="00AE3334">
            <w:pPr>
              <w:widowControl w:val="0"/>
              <w:autoSpaceDE w:val="0"/>
              <w:autoSpaceDN w:val="0"/>
              <w:adjustRightInd w:val="0"/>
              <w:spacing w:after="240" w:line="276" w:lineRule="auto"/>
              <w:outlineLvl w:val="0"/>
              <w:rPr>
                <w:rFonts w:asciiTheme="minorHAnsi" w:hAnsiTheme="minorHAnsi" w:cstheme="minorHAnsi"/>
                <w:color w:val="000000"/>
              </w:rPr>
            </w:pPr>
            <w:r w:rsidRPr="004A0E39">
              <w:rPr>
                <w:rFonts w:asciiTheme="minorHAnsi" w:hAnsiTheme="minorHAnsi" w:cstheme="minorHAnsi"/>
                <w:color w:val="000000"/>
              </w:rPr>
              <w:t xml:space="preserve">Acorn Recovery Projects offer </w:t>
            </w:r>
            <w:r w:rsidR="00C74D09" w:rsidRPr="004A0E39">
              <w:rPr>
                <w:rFonts w:asciiTheme="minorHAnsi" w:hAnsiTheme="minorHAnsi" w:cstheme="minorHAnsi"/>
                <w:color w:val="000000"/>
              </w:rPr>
              <w:t xml:space="preserve">supported housing in Manchester and Rochdale. Both services </w:t>
            </w:r>
          </w:p>
          <w:p w14:paraId="1F35FEBB" w14:textId="6E55C557" w:rsidR="00AE3334" w:rsidRPr="004A0E39" w:rsidRDefault="00AE3334" w:rsidP="00AE3334">
            <w:pPr>
              <w:widowControl w:val="0"/>
              <w:autoSpaceDE w:val="0"/>
              <w:autoSpaceDN w:val="0"/>
              <w:adjustRightInd w:val="0"/>
              <w:spacing w:after="240" w:line="276" w:lineRule="auto"/>
              <w:outlineLvl w:val="0"/>
              <w:rPr>
                <w:rFonts w:asciiTheme="minorHAnsi" w:hAnsiTheme="minorHAnsi" w:cstheme="minorHAnsi"/>
                <w:color w:val="000000"/>
              </w:rPr>
            </w:pPr>
            <w:r w:rsidRPr="004A0E39">
              <w:rPr>
                <w:rFonts w:asciiTheme="minorHAnsi" w:hAnsiTheme="minorHAnsi" w:cstheme="minorHAnsi"/>
                <w:color w:val="000000"/>
              </w:rPr>
              <w:t xml:space="preserve">Each property has single room occupancy with shared bathroom, kitchen, and lounge facilities. </w:t>
            </w:r>
            <w:r w:rsidR="00C74D09" w:rsidRPr="004A0E39">
              <w:rPr>
                <w:rFonts w:asciiTheme="minorHAnsi" w:hAnsiTheme="minorHAnsi" w:cstheme="minorHAnsi"/>
                <w:color w:val="000000"/>
              </w:rPr>
              <w:t xml:space="preserve">Rochdale has one </w:t>
            </w:r>
            <w:proofErr w:type="spellStart"/>
            <w:r w:rsidR="00C74D09" w:rsidRPr="004A0E39">
              <w:rPr>
                <w:rFonts w:asciiTheme="minorHAnsi" w:hAnsiTheme="minorHAnsi" w:cstheme="minorHAnsi"/>
                <w:color w:val="000000"/>
              </w:rPr>
              <w:t>en</w:t>
            </w:r>
            <w:proofErr w:type="spellEnd"/>
            <w:r w:rsidR="00C74D09" w:rsidRPr="004A0E39">
              <w:rPr>
                <w:rFonts w:asciiTheme="minorHAnsi" w:hAnsiTheme="minorHAnsi" w:cstheme="minorHAnsi"/>
                <w:color w:val="000000"/>
              </w:rPr>
              <w:t>-suite</w:t>
            </w:r>
            <w:r w:rsidRPr="004A0E39">
              <w:rPr>
                <w:rFonts w:asciiTheme="minorHAnsi" w:hAnsiTheme="minorHAnsi" w:cstheme="minorHAnsi"/>
                <w:color w:val="000000"/>
              </w:rPr>
              <w:t xml:space="preserve"> </w:t>
            </w:r>
            <w:r w:rsidR="00C74D09" w:rsidRPr="004A0E39">
              <w:rPr>
                <w:rFonts w:asciiTheme="minorHAnsi" w:hAnsiTheme="minorHAnsi" w:cstheme="minorHAnsi"/>
                <w:color w:val="000000"/>
              </w:rPr>
              <w:t>downstairs which is suitable for anyone with walking difficulties.</w:t>
            </w:r>
            <w:r w:rsidRPr="004A0E39">
              <w:rPr>
                <w:rFonts w:asciiTheme="minorHAnsi" w:hAnsiTheme="minorHAnsi" w:cstheme="minorHAnsi"/>
                <w:color w:val="000000"/>
              </w:rPr>
              <w:t xml:space="preserve"> </w:t>
            </w:r>
          </w:p>
          <w:p w14:paraId="1A132127" w14:textId="2C442CC2" w:rsidR="00732ACB" w:rsidRPr="004A0E39" w:rsidRDefault="00AE3334" w:rsidP="004A0E39">
            <w:pPr>
              <w:widowControl w:val="0"/>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lastRenderedPageBreak/>
              <w:t xml:space="preserve">The service is for 18 years and over, with no upper age limit. Access to the service is funded through </w:t>
            </w:r>
            <w:r w:rsidR="00C74D09" w:rsidRPr="004A0E39">
              <w:rPr>
                <w:rFonts w:asciiTheme="minorHAnsi" w:hAnsiTheme="minorHAnsi" w:cstheme="minorHAnsi"/>
                <w:color w:val="000000"/>
              </w:rPr>
              <w:t>housing benefit</w:t>
            </w:r>
          </w:p>
        </w:tc>
      </w:tr>
      <w:tr w:rsidR="00433516" w:rsidRPr="004A0E39" w14:paraId="590C3B7A" w14:textId="77777777" w:rsidTr="0006101A">
        <w:tc>
          <w:tcPr>
            <w:tcW w:w="5075" w:type="dxa"/>
          </w:tcPr>
          <w:p w14:paraId="0E50E792" w14:textId="77777777" w:rsidR="00AE3334" w:rsidRPr="004A0E39" w:rsidRDefault="00AE3334" w:rsidP="00AE3334">
            <w:pPr>
              <w:widowControl w:val="0"/>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lastRenderedPageBreak/>
              <w:t>Eligibility Criteria:</w:t>
            </w:r>
          </w:p>
          <w:p w14:paraId="2ABF8DEE" w14:textId="1F4FF8C1" w:rsidR="004E3F63" w:rsidRPr="004A0E39" w:rsidRDefault="004E3F63" w:rsidP="00AE3334">
            <w:pPr>
              <w:rPr>
                <w:rFonts w:asciiTheme="minorHAnsi" w:eastAsia="Times New Roman" w:hAnsiTheme="minorHAnsi" w:cstheme="minorHAnsi"/>
                <w:lang w:eastAsia="en-GB"/>
              </w:rPr>
            </w:pPr>
          </w:p>
        </w:tc>
        <w:tc>
          <w:tcPr>
            <w:tcW w:w="5131" w:type="dxa"/>
          </w:tcPr>
          <w:p w14:paraId="0B5913BB" w14:textId="77777777" w:rsidR="00660093" w:rsidRPr="004A0E39" w:rsidRDefault="00660093" w:rsidP="00660093">
            <w:pPr>
              <w:pStyle w:val="ListParagraph"/>
              <w:widowControl w:val="0"/>
              <w:numPr>
                <w:ilvl w:val="0"/>
                <w:numId w:val="39"/>
              </w:numPr>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Aged 18 or over, no upper age limit</w:t>
            </w:r>
          </w:p>
          <w:p w14:paraId="73569E9C" w14:textId="53C92C88" w:rsidR="00660093" w:rsidRPr="004A0E39" w:rsidRDefault="00660093" w:rsidP="00660093">
            <w:pPr>
              <w:pStyle w:val="ListParagraph"/>
              <w:widowControl w:val="0"/>
              <w:numPr>
                <w:ilvl w:val="0"/>
                <w:numId w:val="39"/>
              </w:numPr>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 xml:space="preserve">Abstinent from drugs and/or Alcohol – you must have been deemed medically fit to enter </w:t>
            </w:r>
            <w:r w:rsidR="00EF21B7" w:rsidRPr="004A0E39">
              <w:rPr>
                <w:rFonts w:asciiTheme="minorHAnsi" w:hAnsiTheme="minorHAnsi" w:cstheme="minorHAnsi"/>
                <w:color w:val="000000"/>
              </w:rPr>
              <w:t>our supported housing</w:t>
            </w:r>
            <w:r w:rsidRPr="004A0E39">
              <w:rPr>
                <w:rFonts w:asciiTheme="minorHAnsi" w:hAnsiTheme="minorHAnsi" w:cstheme="minorHAnsi"/>
                <w:color w:val="000000"/>
              </w:rPr>
              <w:t xml:space="preserve"> by a medical professional from an inpatient or community detox programme, or a care manager in the community</w:t>
            </w:r>
            <w:r w:rsidR="00EF21B7" w:rsidRPr="004A0E39">
              <w:rPr>
                <w:rFonts w:asciiTheme="minorHAnsi" w:hAnsiTheme="minorHAnsi" w:cstheme="minorHAnsi"/>
                <w:color w:val="000000"/>
              </w:rPr>
              <w:t>.</w:t>
            </w:r>
          </w:p>
          <w:p w14:paraId="3E031717" w14:textId="4B7E0B88" w:rsidR="00660093" w:rsidRPr="004A0E39" w:rsidRDefault="00EF21B7" w:rsidP="00EF21B7">
            <w:pPr>
              <w:pStyle w:val="ListParagraph"/>
              <w:widowControl w:val="0"/>
              <w:numPr>
                <w:ilvl w:val="0"/>
                <w:numId w:val="39"/>
              </w:numPr>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All clients entering our supported housing project must be eligible for housing benefits.</w:t>
            </w:r>
          </w:p>
          <w:p w14:paraId="1799A087" w14:textId="0BE516F4" w:rsidR="00660093" w:rsidRPr="004A0E39" w:rsidRDefault="00660093" w:rsidP="00660093">
            <w:pPr>
              <w:pStyle w:val="ListParagraph"/>
              <w:widowControl w:val="0"/>
              <w:numPr>
                <w:ilvl w:val="0"/>
                <w:numId w:val="39"/>
              </w:numPr>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 xml:space="preserve">A contingency plan for unplanned discharge is in place and has been agreed prior to admission e.g., move to alternative </w:t>
            </w:r>
            <w:r w:rsidR="00EF21B7" w:rsidRPr="004A0E39">
              <w:rPr>
                <w:rFonts w:asciiTheme="minorHAnsi" w:hAnsiTheme="minorHAnsi" w:cstheme="minorHAnsi"/>
                <w:color w:val="000000"/>
              </w:rPr>
              <w:t xml:space="preserve">supported </w:t>
            </w:r>
            <w:r w:rsidRPr="004A0E39">
              <w:rPr>
                <w:rFonts w:asciiTheme="minorHAnsi" w:hAnsiTheme="minorHAnsi" w:cstheme="minorHAnsi"/>
                <w:color w:val="000000"/>
              </w:rPr>
              <w:t>accommodation. If client has NFA status</w:t>
            </w:r>
            <w:r w:rsidR="003F3A10" w:rsidRPr="004A0E39">
              <w:rPr>
                <w:rFonts w:asciiTheme="minorHAnsi" w:hAnsiTheme="minorHAnsi" w:cstheme="minorHAnsi"/>
                <w:color w:val="000000"/>
              </w:rPr>
              <w:t xml:space="preserve"> and the client continues to disengage with our service and</w:t>
            </w:r>
            <w:r w:rsidRPr="004A0E39">
              <w:rPr>
                <w:rFonts w:asciiTheme="minorHAnsi" w:hAnsiTheme="minorHAnsi" w:cstheme="minorHAnsi"/>
                <w:color w:val="000000"/>
              </w:rPr>
              <w:t xml:space="preserve"> all efforts </w:t>
            </w:r>
            <w:r w:rsidR="003F3A10" w:rsidRPr="004A0E39">
              <w:rPr>
                <w:rFonts w:asciiTheme="minorHAnsi" w:hAnsiTheme="minorHAnsi" w:cstheme="minorHAnsi"/>
                <w:color w:val="000000"/>
              </w:rPr>
              <w:t xml:space="preserve">have been </w:t>
            </w:r>
            <w:r w:rsidRPr="004A0E39">
              <w:rPr>
                <w:rFonts w:asciiTheme="minorHAnsi" w:hAnsiTheme="minorHAnsi" w:cstheme="minorHAnsi"/>
                <w:color w:val="000000"/>
              </w:rPr>
              <w:t xml:space="preserve">made to source alternative </w:t>
            </w:r>
            <w:r w:rsidR="0037206A" w:rsidRPr="004A0E39">
              <w:rPr>
                <w:rFonts w:asciiTheme="minorHAnsi" w:hAnsiTheme="minorHAnsi" w:cstheme="minorHAnsi"/>
                <w:color w:val="000000"/>
              </w:rPr>
              <w:t>accommodation,</w:t>
            </w:r>
            <w:r w:rsidR="003F3A10" w:rsidRPr="004A0E39">
              <w:rPr>
                <w:rFonts w:asciiTheme="minorHAnsi" w:hAnsiTheme="minorHAnsi" w:cstheme="minorHAnsi"/>
                <w:color w:val="000000"/>
              </w:rPr>
              <w:t xml:space="preserve"> then </w:t>
            </w:r>
            <w:r w:rsidRPr="004A0E39">
              <w:rPr>
                <w:rFonts w:asciiTheme="minorHAnsi" w:hAnsiTheme="minorHAnsi" w:cstheme="minorHAnsi"/>
                <w:color w:val="000000"/>
              </w:rPr>
              <w:t>the client</w:t>
            </w:r>
            <w:r w:rsidR="003F3A10" w:rsidRPr="004A0E39">
              <w:rPr>
                <w:rFonts w:asciiTheme="minorHAnsi" w:hAnsiTheme="minorHAnsi" w:cstheme="minorHAnsi"/>
                <w:color w:val="000000"/>
              </w:rPr>
              <w:t xml:space="preserve"> will be asked to </w:t>
            </w:r>
            <w:r w:rsidRPr="004A0E39">
              <w:rPr>
                <w:rFonts w:asciiTheme="minorHAnsi" w:hAnsiTheme="minorHAnsi" w:cstheme="minorHAnsi"/>
                <w:color w:val="000000"/>
              </w:rPr>
              <w:t>present as homeless</w:t>
            </w:r>
          </w:p>
          <w:p w14:paraId="7BB02658" w14:textId="742C435B" w:rsidR="00660093" w:rsidRPr="004A0E39" w:rsidRDefault="00660093" w:rsidP="00660093">
            <w:pPr>
              <w:pStyle w:val="ListParagraph"/>
              <w:widowControl w:val="0"/>
              <w:numPr>
                <w:ilvl w:val="0"/>
                <w:numId w:val="39"/>
              </w:numPr>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 xml:space="preserve">Motivated to access and engage in the </w:t>
            </w:r>
            <w:r w:rsidR="003F3A10" w:rsidRPr="004A0E39">
              <w:rPr>
                <w:rFonts w:asciiTheme="minorHAnsi" w:hAnsiTheme="minorHAnsi" w:cstheme="minorHAnsi"/>
                <w:color w:val="000000"/>
              </w:rPr>
              <w:t xml:space="preserve">support offered by Acorn or by one of our partner agencies </w:t>
            </w:r>
          </w:p>
          <w:p w14:paraId="6120E115" w14:textId="544282D2" w:rsidR="0037206A" w:rsidRPr="004A0E39" w:rsidRDefault="0037206A" w:rsidP="00660093">
            <w:pPr>
              <w:pStyle w:val="ListParagraph"/>
              <w:widowControl w:val="0"/>
              <w:numPr>
                <w:ilvl w:val="0"/>
                <w:numId w:val="39"/>
              </w:numPr>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 xml:space="preserve">To be willing to comply with all </w:t>
            </w:r>
            <w:r w:rsidR="00B41718" w:rsidRPr="004A0E39">
              <w:rPr>
                <w:rFonts w:asciiTheme="minorHAnsi" w:hAnsiTheme="minorHAnsi" w:cstheme="minorHAnsi"/>
                <w:color w:val="000000"/>
              </w:rPr>
              <w:t>terms and conditions</w:t>
            </w:r>
            <w:r w:rsidR="00090E9D" w:rsidRPr="004A0E39">
              <w:rPr>
                <w:rFonts w:asciiTheme="minorHAnsi" w:hAnsiTheme="minorHAnsi" w:cstheme="minorHAnsi"/>
                <w:color w:val="000000"/>
              </w:rPr>
              <w:t xml:space="preserve"> within the houses, including drug/alcohol screening, adhering to curfew </w:t>
            </w:r>
            <w:proofErr w:type="gramStart"/>
            <w:r w:rsidR="00090E9D" w:rsidRPr="004A0E39">
              <w:rPr>
                <w:rFonts w:asciiTheme="minorHAnsi" w:hAnsiTheme="minorHAnsi" w:cstheme="minorHAnsi"/>
                <w:color w:val="000000"/>
              </w:rPr>
              <w:t>times</w:t>
            </w:r>
            <w:proofErr w:type="gramEnd"/>
            <w:r w:rsidR="00B41718" w:rsidRPr="004A0E39">
              <w:rPr>
                <w:rFonts w:asciiTheme="minorHAnsi" w:hAnsiTheme="minorHAnsi" w:cstheme="minorHAnsi"/>
                <w:color w:val="000000"/>
              </w:rPr>
              <w:t xml:space="preserve"> and engaging in house chores.</w:t>
            </w:r>
          </w:p>
          <w:p w14:paraId="11B49D89" w14:textId="77E36F7A" w:rsidR="00433516" w:rsidRPr="004A0E39" w:rsidRDefault="00660093" w:rsidP="004A0E39">
            <w:pPr>
              <w:pStyle w:val="ListParagraph"/>
              <w:widowControl w:val="0"/>
              <w:numPr>
                <w:ilvl w:val="0"/>
                <w:numId w:val="39"/>
              </w:numPr>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That individuals can understand the process, the information they are being given and make informed decisions for themselve</w:t>
            </w:r>
            <w:r w:rsidR="007F1D50" w:rsidRPr="004A0E39">
              <w:rPr>
                <w:rFonts w:asciiTheme="minorHAnsi" w:hAnsiTheme="minorHAnsi" w:cstheme="minorHAnsi"/>
                <w:color w:val="000000"/>
              </w:rPr>
              <w:t>s</w:t>
            </w:r>
          </w:p>
        </w:tc>
      </w:tr>
      <w:tr w:rsidR="0006101A" w:rsidRPr="004A0E39" w14:paraId="70F80B50" w14:textId="77777777" w:rsidTr="0006101A">
        <w:tc>
          <w:tcPr>
            <w:tcW w:w="5075" w:type="dxa"/>
          </w:tcPr>
          <w:p w14:paraId="1EB70371" w14:textId="4E75E11F" w:rsidR="00660093" w:rsidRPr="004A0E39" w:rsidRDefault="00660093" w:rsidP="00660093">
            <w:pPr>
              <w:widowControl w:val="0"/>
              <w:autoSpaceDE w:val="0"/>
              <w:autoSpaceDN w:val="0"/>
              <w:adjustRightInd w:val="0"/>
              <w:spacing w:after="240" w:line="360" w:lineRule="atLeast"/>
              <w:rPr>
                <w:rFonts w:asciiTheme="minorHAnsi" w:hAnsiTheme="minorHAnsi" w:cstheme="minorHAnsi"/>
                <w:color w:val="000000"/>
              </w:rPr>
            </w:pPr>
            <w:r w:rsidRPr="004A0E39">
              <w:rPr>
                <w:rFonts w:asciiTheme="minorHAnsi" w:hAnsiTheme="minorHAnsi" w:cstheme="minorHAnsi"/>
                <w:color w:val="000000"/>
              </w:rPr>
              <w:t>Limitations to Access:</w:t>
            </w:r>
          </w:p>
          <w:p w14:paraId="2E89DB55" w14:textId="34A0C83D" w:rsidR="0006101A" w:rsidRPr="004A0E39" w:rsidRDefault="0006101A" w:rsidP="0006101A">
            <w:pPr>
              <w:rPr>
                <w:rFonts w:asciiTheme="minorHAnsi" w:eastAsia="Times New Roman" w:hAnsiTheme="minorHAnsi" w:cstheme="minorHAnsi"/>
                <w:lang w:eastAsia="en-GB"/>
              </w:rPr>
            </w:pPr>
          </w:p>
        </w:tc>
        <w:tc>
          <w:tcPr>
            <w:tcW w:w="5131" w:type="dxa"/>
          </w:tcPr>
          <w:p w14:paraId="3E664D79" w14:textId="4BF4D9B2" w:rsidR="00660093" w:rsidRPr="004A0E39" w:rsidRDefault="00660093" w:rsidP="004A0E39">
            <w:pPr>
              <w:rPr>
                <w:rFonts w:asciiTheme="minorHAnsi" w:hAnsiTheme="minorHAnsi" w:cstheme="minorHAnsi"/>
                <w:color w:val="000000"/>
              </w:rPr>
            </w:pPr>
          </w:p>
          <w:p w14:paraId="75B6F445" w14:textId="77777777" w:rsidR="00660093" w:rsidRPr="004A0E39" w:rsidRDefault="00660093" w:rsidP="00660093">
            <w:pPr>
              <w:pStyle w:val="ListParagraph"/>
              <w:numPr>
                <w:ilvl w:val="0"/>
                <w:numId w:val="40"/>
              </w:numPr>
              <w:rPr>
                <w:rFonts w:asciiTheme="minorHAnsi" w:hAnsiTheme="minorHAnsi" w:cstheme="minorHAnsi"/>
                <w:color w:val="000000"/>
              </w:rPr>
            </w:pPr>
            <w:r w:rsidRPr="004A0E39">
              <w:rPr>
                <w:rFonts w:asciiTheme="minorHAnsi" w:hAnsiTheme="minorHAnsi" w:cstheme="minorHAnsi"/>
                <w:color w:val="000000"/>
              </w:rPr>
              <w:t>We are unable to accommodate families or individuals under the age of 18.</w:t>
            </w:r>
          </w:p>
          <w:p w14:paraId="06C5E8B1" w14:textId="77777777" w:rsidR="00660093" w:rsidRPr="004A0E39" w:rsidRDefault="00660093" w:rsidP="00660093">
            <w:pPr>
              <w:pStyle w:val="ListParagraph"/>
              <w:rPr>
                <w:rFonts w:asciiTheme="minorHAnsi" w:hAnsiTheme="minorHAnsi" w:cstheme="minorHAnsi"/>
                <w:color w:val="000000"/>
              </w:rPr>
            </w:pPr>
          </w:p>
          <w:p w14:paraId="717C77E2" w14:textId="77777777" w:rsidR="00660093" w:rsidRPr="004A0E39" w:rsidRDefault="00660093" w:rsidP="00660093">
            <w:pPr>
              <w:pStyle w:val="ListParagraph"/>
              <w:numPr>
                <w:ilvl w:val="0"/>
                <w:numId w:val="40"/>
              </w:numPr>
              <w:rPr>
                <w:rFonts w:asciiTheme="minorHAnsi" w:hAnsiTheme="minorHAnsi" w:cstheme="minorHAnsi"/>
                <w:color w:val="000000"/>
              </w:rPr>
            </w:pPr>
            <w:r w:rsidRPr="004A0E39">
              <w:rPr>
                <w:rFonts w:asciiTheme="minorHAnsi" w:hAnsiTheme="minorHAnsi" w:cstheme="minorHAnsi"/>
                <w:color w:val="000000"/>
              </w:rPr>
              <w:lastRenderedPageBreak/>
              <w:t xml:space="preserve">We do not operate blanket exclusions. Decisions will be based on the information collected as part of the assessment process and any risk presented by them.  </w:t>
            </w:r>
          </w:p>
          <w:p w14:paraId="4F101209" w14:textId="77777777" w:rsidR="00660093" w:rsidRPr="004A0E39" w:rsidRDefault="00660093" w:rsidP="00660093">
            <w:pPr>
              <w:pStyle w:val="ListParagraph"/>
              <w:rPr>
                <w:rFonts w:asciiTheme="minorHAnsi" w:hAnsiTheme="minorHAnsi" w:cstheme="minorHAnsi"/>
                <w:color w:val="000000"/>
              </w:rPr>
            </w:pPr>
          </w:p>
          <w:p w14:paraId="3690C3B4" w14:textId="77777777" w:rsidR="00660093" w:rsidRPr="004A0E39" w:rsidRDefault="00660093" w:rsidP="00660093">
            <w:pPr>
              <w:pStyle w:val="ListParagraph"/>
              <w:numPr>
                <w:ilvl w:val="0"/>
                <w:numId w:val="40"/>
              </w:numPr>
              <w:rPr>
                <w:rFonts w:asciiTheme="minorHAnsi" w:hAnsiTheme="minorHAnsi" w:cstheme="minorHAnsi"/>
                <w:color w:val="000000"/>
              </w:rPr>
            </w:pPr>
            <w:r w:rsidRPr="004A0E39">
              <w:rPr>
                <w:rFonts w:asciiTheme="minorHAnsi" w:hAnsiTheme="minorHAnsi" w:cstheme="minorHAnsi"/>
                <w:color w:val="000000"/>
              </w:rPr>
              <w:t>Any individual that has serious convictions for arson and our insurers deem too high risk</w:t>
            </w:r>
          </w:p>
          <w:p w14:paraId="6AB0A176" w14:textId="77777777" w:rsidR="00660093" w:rsidRPr="004A0E39" w:rsidRDefault="00660093" w:rsidP="00660093">
            <w:pPr>
              <w:pStyle w:val="ListParagraph"/>
              <w:rPr>
                <w:rFonts w:asciiTheme="minorHAnsi" w:hAnsiTheme="minorHAnsi" w:cstheme="minorHAnsi"/>
                <w:color w:val="000000"/>
              </w:rPr>
            </w:pPr>
          </w:p>
          <w:p w14:paraId="152F1A3D" w14:textId="77777777" w:rsidR="00660093" w:rsidRPr="004A0E39" w:rsidRDefault="00660093" w:rsidP="00660093">
            <w:pPr>
              <w:pStyle w:val="ListParagraph"/>
              <w:numPr>
                <w:ilvl w:val="0"/>
                <w:numId w:val="40"/>
              </w:numPr>
              <w:rPr>
                <w:rFonts w:asciiTheme="minorHAnsi" w:hAnsiTheme="minorHAnsi" w:cstheme="minorHAnsi"/>
                <w:color w:val="000000"/>
              </w:rPr>
            </w:pPr>
            <w:r w:rsidRPr="004A0E39">
              <w:rPr>
                <w:rFonts w:asciiTheme="minorHAnsi" w:hAnsiTheme="minorHAnsi" w:cstheme="minorHAnsi"/>
                <w:color w:val="000000"/>
              </w:rPr>
              <w:t>Any individual that has high risk mental health needs, that as a service we feel cannot manage</w:t>
            </w:r>
          </w:p>
          <w:p w14:paraId="4B0E5EFD" w14:textId="77777777" w:rsidR="00660093" w:rsidRPr="004A0E39" w:rsidRDefault="00660093" w:rsidP="00660093">
            <w:pPr>
              <w:pStyle w:val="ListParagraph"/>
              <w:rPr>
                <w:rFonts w:asciiTheme="minorHAnsi" w:hAnsiTheme="minorHAnsi" w:cstheme="minorHAnsi"/>
                <w:color w:val="000000"/>
              </w:rPr>
            </w:pPr>
          </w:p>
          <w:p w14:paraId="015EFF08" w14:textId="77777777" w:rsidR="00660093" w:rsidRPr="004A0E39" w:rsidRDefault="00660093" w:rsidP="00660093">
            <w:pPr>
              <w:pStyle w:val="ListParagraph"/>
              <w:numPr>
                <w:ilvl w:val="0"/>
                <w:numId w:val="40"/>
              </w:numPr>
              <w:rPr>
                <w:rFonts w:asciiTheme="minorHAnsi" w:hAnsiTheme="minorHAnsi" w:cstheme="minorHAnsi"/>
                <w:color w:val="000000"/>
              </w:rPr>
            </w:pPr>
            <w:r w:rsidRPr="004A0E39">
              <w:rPr>
                <w:rFonts w:asciiTheme="minorHAnsi" w:hAnsiTheme="minorHAnsi" w:cstheme="minorHAnsi"/>
                <w:color w:val="000000"/>
              </w:rPr>
              <w:t xml:space="preserve">Any individual that has high risk sexual offences, and we feel unable to keep the individual safe </w:t>
            </w:r>
          </w:p>
          <w:p w14:paraId="346A97B2" w14:textId="77777777" w:rsidR="00660093" w:rsidRPr="004A0E39" w:rsidRDefault="00660093" w:rsidP="00660093">
            <w:pPr>
              <w:pStyle w:val="ListParagraph"/>
              <w:rPr>
                <w:rFonts w:asciiTheme="minorHAnsi" w:hAnsiTheme="minorHAnsi" w:cstheme="minorHAnsi"/>
                <w:color w:val="000000"/>
              </w:rPr>
            </w:pPr>
          </w:p>
          <w:p w14:paraId="784A4D92" w14:textId="77777777" w:rsidR="00660093" w:rsidRPr="004A0E39" w:rsidRDefault="00660093" w:rsidP="00660093">
            <w:pPr>
              <w:pStyle w:val="ListParagraph"/>
              <w:numPr>
                <w:ilvl w:val="0"/>
                <w:numId w:val="40"/>
              </w:numPr>
              <w:rPr>
                <w:rFonts w:asciiTheme="minorHAnsi" w:hAnsiTheme="minorHAnsi" w:cstheme="minorHAnsi"/>
                <w:color w:val="000000"/>
              </w:rPr>
            </w:pPr>
            <w:r w:rsidRPr="004A0E39">
              <w:rPr>
                <w:rFonts w:asciiTheme="minorHAnsi" w:hAnsiTheme="minorHAnsi" w:cstheme="minorHAnsi"/>
                <w:color w:val="000000"/>
              </w:rPr>
              <w:t>There is a right to appeal if an applicant is rejected for any reason and a copy of how to do this will be issued with any refusal decision.</w:t>
            </w:r>
          </w:p>
          <w:p w14:paraId="558ED170" w14:textId="77777777" w:rsidR="00660093" w:rsidRPr="004A0E39" w:rsidRDefault="00660093" w:rsidP="00660093">
            <w:pPr>
              <w:pStyle w:val="ListParagraph"/>
              <w:rPr>
                <w:rFonts w:asciiTheme="minorHAnsi" w:hAnsiTheme="minorHAnsi" w:cstheme="minorHAnsi"/>
                <w:color w:val="000000"/>
              </w:rPr>
            </w:pPr>
          </w:p>
          <w:p w14:paraId="63058D6D" w14:textId="1A05397B" w:rsidR="00660093" w:rsidRPr="004A0E39" w:rsidRDefault="00660093" w:rsidP="00660093">
            <w:pPr>
              <w:rPr>
                <w:rFonts w:asciiTheme="minorHAnsi" w:hAnsiTheme="minorHAnsi" w:cstheme="minorHAnsi"/>
                <w:color w:val="000000"/>
              </w:rPr>
            </w:pPr>
            <w:r w:rsidRPr="004A0E39">
              <w:rPr>
                <w:rFonts w:asciiTheme="minorHAnsi" w:hAnsiTheme="minorHAnsi" w:cstheme="minorHAnsi"/>
                <w:color w:val="000000"/>
              </w:rPr>
              <w:t xml:space="preserve">Decisions are approved by </w:t>
            </w:r>
            <w:r w:rsidR="00EF21B7" w:rsidRPr="004A0E39">
              <w:rPr>
                <w:rFonts w:asciiTheme="minorHAnsi" w:hAnsiTheme="minorHAnsi" w:cstheme="minorHAnsi"/>
                <w:color w:val="000000"/>
              </w:rPr>
              <w:t>the team leader with input from housing support staff</w:t>
            </w:r>
            <w:r w:rsidRPr="004A0E39">
              <w:rPr>
                <w:rFonts w:asciiTheme="minorHAnsi" w:hAnsiTheme="minorHAnsi" w:cstheme="minorHAnsi"/>
                <w:color w:val="000000"/>
              </w:rPr>
              <w:t>.</w:t>
            </w:r>
          </w:p>
          <w:p w14:paraId="79B0068B" w14:textId="00A09E51" w:rsidR="00F01443" w:rsidRPr="004A0E39" w:rsidRDefault="00F01443" w:rsidP="00C43EC0">
            <w:pPr>
              <w:rPr>
                <w:rFonts w:asciiTheme="minorHAnsi" w:hAnsiTheme="minorHAnsi" w:cstheme="minorHAnsi"/>
                <w:highlight w:val="yellow"/>
              </w:rPr>
            </w:pPr>
          </w:p>
        </w:tc>
      </w:tr>
      <w:tr w:rsidR="00F01443" w:rsidRPr="004A0E39" w14:paraId="4EE00589" w14:textId="77777777" w:rsidTr="0006101A">
        <w:tc>
          <w:tcPr>
            <w:tcW w:w="5075" w:type="dxa"/>
          </w:tcPr>
          <w:p w14:paraId="381288EE" w14:textId="77777777" w:rsidR="00660093" w:rsidRPr="004A0E39" w:rsidRDefault="00660093" w:rsidP="00660093">
            <w:pPr>
              <w:rPr>
                <w:rFonts w:asciiTheme="minorHAnsi" w:hAnsiTheme="minorHAnsi" w:cstheme="minorHAnsi"/>
                <w:color w:val="000000"/>
              </w:rPr>
            </w:pPr>
            <w:r w:rsidRPr="004A0E39">
              <w:rPr>
                <w:rFonts w:asciiTheme="minorHAnsi" w:hAnsiTheme="minorHAnsi" w:cstheme="minorHAnsi"/>
                <w:color w:val="000000"/>
              </w:rPr>
              <w:lastRenderedPageBreak/>
              <w:t>Assessment process:</w:t>
            </w:r>
          </w:p>
          <w:p w14:paraId="4E140D90" w14:textId="0D2EF089" w:rsidR="00A854CC" w:rsidRPr="004A0E39" w:rsidRDefault="00A854CC" w:rsidP="0006101A">
            <w:pPr>
              <w:rPr>
                <w:rFonts w:asciiTheme="minorHAnsi" w:eastAsia="Times New Roman" w:hAnsiTheme="minorHAnsi" w:cstheme="minorHAnsi"/>
                <w:lang w:eastAsia="en-GB"/>
              </w:rPr>
            </w:pPr>
          </w:p>
          <w:p w14:paraId="72592739" w14:textId="77777777" w:rsidR="00A854CC" w:rsidRPr="004A0E39" w:rsidRDefault="00A854CC" w:rsidP="0006101A">
            <w:pPr>
              <w:rPr>
                <w:rFonts w:asciiTheme="minorHAnsi" w:eastAsia="Times New Roman" w:hAnsiTheme="minorHAnsi" w:cstheme="minorHAnsi"/>
                <w:lang w:eastAsia="en-GB"/>
              </w:rPr>
            </w:pPr>
          </w:p>
          <w:p w14:paraId="6142B4B5" w14:textId="77777777" w:rsidR="00A854CC" w:rsidRPr="004A0E39" w:rsidRDefault="00A854CC" w:rsidP="0006101A">
            <w:pPr>
              <w:rPr>
                <w:rFonts w:asciiTheme="minorHAnsi" w:eastAsia="Times New Roman" w:hAnsiTheme="minorHAnsi" w:cstheme="minorHAnsi"/>
                <w:lang w:eastAsia="en-GB"/>
              </w:rPr>
            </w:pPr>
          </w:p>
          <w:p w14:paraId="571B7F76" w14:textId="77777777" w:rsidR="00A854CC" w:rsidRPr="004A0E39" w:rsidRDefault="00A854CC" w:rsidP="0006101A">
            <w:pPr>
              <w:rPr>
                <w:rFonts w:asciiTheme="minorHAnsi" w:eastAsia="Times New Roman" w:hAnsiTheme="minorHAnsi" w:cstheme="minorHAnsi"/>
                <w:lang w:eastAsia="en-GB"/>
              </w:rPr>
            </w:pPr>
          </w:p>
          <w:p w14:paraId="54F5A76F" w14:textId="77777777" w:rsidR="00A854CC" w:rsidRPr="004A0E39" w:rsidRDefault="00A854CC" w:rsidP="0006101A">
            <w:pPr>
              <w:rPr>
                <w:rFonts w:asciiTheme="minorHAnsi" w:eastAsia="Times New Roman" w:hAnsiTheme="minorHAnsi" w:cstheme="minorHAnsi"/>
                <w:lang w:eastAsia="en-GB"/>
              </w:rPr>
            </w:pPr>
          </w:p>
          <w:p w14:paraId="6F2537CB" w14:textId="77777777" w:rsidR="00A854CC" w:rsidRPr="004A0E39" w:rsidRDefault="00A854CC" w:rsidP="0006101A">
            <w:pPr>
              <w:rPr>
                <w:rFonts w:asciiTheme="minorHAnsi" w:eastAsia="Times New Roman" w:hAnsiTheme="minorHAnsi" w:cstheme="minorHAnsi"/>
                <w:lang w:eastAsia="en-GB"/>
              </w:rPr>
            </w:pPr>
          </w:p>
          <w:p w14:paraId="01DA6B39" w14:textId="77777777" w:rsidR="00A854CC" w:rsidRPr="004A0E39" w:rsidRDefault="00A854CC" w:rsidP="0006101A">
            <w:pPr>
              <w:rPr>
                <w:rFonts w:asciiTheme="minorHAnsi" w:eastAsia="Times New Roman" w:hAnsiTheme="minorHAnsi" w:cstheme="minorHAnsi"/>
                <w:lang w:eastAsia="en-GB"/>
              </w:rPr>
            </w:pPr>
          </w:p>
          <w:p w14:paraId="33502294" w14:textId="77777777" w:rsidR="00A854CC" w:rsidRPr="004A0E39" w:rsidRDefault="00A854CC" w:rsidP="0006101A">
            <w:pPr>
              <w:rPr>
                <w:rFonts w:asciiTheme="minorHAnsi" w:eastAsia="Times New Roman" w:hAnsiTheme="minorHAnsi" w:cstheme="minorHAnsi"/>
                <w:lang w:eastAsia="en-GB"/>
              </w:rPr>
            </w:pPr>
          </w:p>
          <w:p w14:paraId="244B5C70" w14:textId="77777777" w:rsidR="00A854CC" w:rsidRPr="004A0E39" w:rsidRDefault="00A854CC" w:rsidP="0006101A">
            <w:pPr>
              <w:rPr>
                <w:rFonts w:asciiTheme="minorHAnsi" w:eastAsia="Times New Roman" w:hAnsiTheme="minorHAnsi" w:cstheme="minorHAnsi"/>
                <w:lang w:eastAsia="en-GB"/>
              </w:rPr>
            </w:pPr>
          </w:p>
          <w:p w14:paraId="7A2608E7" w14:textId="77777777" w:rsidR="00A854CC" w:rsidRPr="004A0E39" w:rsidRDefault="00A854CC" w:rsidP="0006101A">
            <w:pPr>
              <w:rPr>
                <w:rFonts w:asciiTheme="minorHAnsi" w:eastAsia="Times New Roman" w:hAnsiTheme="minorHAnsi" w:cstheme="minorHAnsi"/>
                <w:lang w:eastAsia="en-GB"/>
              </w:rPr>
            </w:pPr>
          </w:p>
          <w:p w14:paraId="20308C6B" w14:textId="77777777" w:rsidR="00A854CC" w:rsidRPr="004A0E39" w:rsidRDefault="00A854CC" w:rsidP="0006101A">
            <w:pPr>
              <w:rPr>
                <w:rFonts w:asciiTheme="minorHAnsi" w:eastAsia="Times New Roman" w:hAnsiTheme="minorHAnsi" w:cstheme="minorHAnsi"/>
                <w:lang w:eastAsia="en-GB"/>
              </w:rPr>
            </w:pPr>
          </w:p>
          <w:p w14:paraId="01879A26" w14:textId="77777777" w:rsidR="00A854CC" w:rsidRPr="004A0E39" w:rsidRDefault="00A854CC" w:rsidP="0006101A">
            <w:pPr>
              <w:rPr>
                <w:rFonts w:asciiTheme="minorHAnsi" w:eastAsia="Times New Roman" w:hAnsiTheme="minorHAnsi" w:cstheme="minorHAnsi"/>
                <w:lang w:eastAsia="en-GB"/>
              </w:rPr>
            </w:pPr>
          </w:p>
          <w:p w14:paraId="4A315CE6" w14:textId="77777777" w:rsidR="00A854CC" w:rsidRPr="004A0E39" w:rsidRDefault="00A854CC" w:rsidP="0006101A">
            <w:pPr>
              <w:rPr>
                <w:rFonts w:asciiTheme="minorHAnsi" w:eastAsia="Times New Roman" w:hAnsiTheme="minorHAnsi" w:cstheme="minorHAnsi"/>
                <w:lang w:eastAsia="en-GB"/>
              </w:rPr>
            </w:pPr>
          </w:p>
          <w:p w14:paraId="62C5CD21" w14:textId="77777777" w:rsidR="00A854CC" w:rsidRPr="004A0E39" w:rsidRDefault="00A854CC" w:rsidP="0006101A">
            <w:pPr>
              <w:rPr>
                <w:rFonts w:asciiTheme="minorHAnsi" w:eastAsia="Times New Roman" w:hAnsiTheme="minorHAnsi" w:cstheme="minorHAnsi"/>
                <w:lang w:eastAsia="en-GB"/>
              </w:rPr>
            </w:pPr>
          </w:p>
          <w:p w14:paraId="595B4DAB" w14:textId="77777777" w:rsidR="00A854CC" w:rsidRPr="004A0E39" w:rsidRDefault="00A854CC" w:rsidP="0006101A">
            <w:pPr>
              <w:rPr>
                <w:rFonts w:asciiTheme="minorHAnsi" w:eastAsia="Times New Roman" w:hAnsiTheme="minorHAnsi" w:cstheme="minorHAnsi"/>
                <w:lang w:eastAsia="en-GB"/>
              </w:rPr>
            </w:pPr>
          </w:p>
          <w:p w14:paraId="1EBF7B6E" w14:textId="77777777" w:rsidR="00A854CC" w:rsidRPr="004A0E39" w:rsidRDefault="00A854CC" w:rsidP="0006101A">
            <w:pPr>
              <w:rPr>
                <w:rFonts w:asciiTheme="minorHAnsi" w:eastAsia="Times New Roman" w:hAnsiTheme="minorHAnsi" w:cstheme="minorHAnsi"/>
                <w:lang w:eastAsia="en-GB"/>
              </w:rPr>
            </w:pPr>
          </w:p>
          <w:p w14:paraId="32EEEA6D" w14:textId="77777777" w:rsidR="00A854CC" w:rsidRPr="004A0E39" w:rsidRDefault="00A854CC" w:rsidP="0006101A">
            <w:pPr>
              <w:rPr>
                <w:rFonts w:asciiTheme="minorHAnsi" w:eastAsia="Times New Roman" w:hAnsiTheme="minorHAnsi" w:cstheme="minorHAnsi"/>
                <w:lang w:eastAsia="en-GB"/>
              </w:rPr>
            </w:pPr>
          </w:p>
          <w:p w14:paraId="1AC5EBCB" w14:textId="77777777" w:rsidR="00F02C48" w:rsidRPr="004A0E39" w:rsidRDefault="00F02C48" w:rsidP="0006101A">
            <w:pPr>
              <w:rPr>
                <w:rFonts w:asciiTheme="minorHAnsi" w:eastAsia="Times New Roman" w:hAnsiTheme="minorHAnsi" w:cstheme="minorHAnsi"/>
                <w:lang w:eastAsia="en-GB"/>
              </w:rPr>
            </w:pPr>
          </w:p>
          <w:p w14:paraId="35F38112" w14:textId="77777777" w:rsidR="00F02C48" w:rsidRPr="004A0E39" w:rsidRDefault="00F02C48" w:rsidP="0006101A">
            <w:pPr>
              <w:rPr>
                <w:rFonts w:asciiTheme="minorHAnsi" w:eastAsia="Times New Roman" w:hAnsiTheme="minorHAnsi" w:cstheme="minorHAnsi"/>
                <w:lang w:eastAsia="en-GB"/>
              </w:rPr>
            </w:pPr>
          </w:p>
          <w:p w14:paraId="59AB5D77" w14:textId="77777777" w:rsidR="00F02C48" w:rsidRPr="004A0E39" w:rsidRDefault="00F02C48" w:rsidP="0006101A">
            <w:pPr>
              <w:rPr>
                <w:rFonts w:asciiTheme="minorHAnsi" w:eastAsia="Times New Roman" w:hAnsiTheme="minorHAnsi" w:cstheme="minorHAnsi"/>
                <w:lang w:eastAsia="en-GB"/>
              </w:rPr>
            </w:pPr>
          </w:p>
          <w:p w14:paraId="1E2D747A" w14:textId="77777777" w:rsidR="00F02C48" w:rsidRPr="004A0E39" w:rsidRDefault="00F02C48" w:rsidP="0006101A">
            <w:pPr>
              <w:rPr>
                <w:rFonts w:asciiTheme="minorHAnsi" w:eastAsia="Times New Roman" w:hAnsiTheme="minorHAnsi" w:cstheme="minorHAnsi"/>
                <w:lang w:eastAsia="en-GB"/>
              </w:rPr>
            </w:pPr>
          </w:p>
          <w:p w14:paraId="50DA226B" w14:textId="77777777" w:rsidR="00F02C48" w:rsidRPr="004A0E39" w:rsidRDefault="00F02C48" w:rsidP="0006101A">
            <w:pPr>
              <w:rPr>
                <w:rFonts w:asciiTheme="minorHAnsi" w:eastAsia="Times New Roman" w:hAnsiTheme="minorHAnsi" w:cstheme="minorHAnsi"/>
                <w:lang w:eastAsia="en-GB"/>
              </w:rPr>
            </w:pPr>
          </w:p>
          <w:p w14:paraId="3B762E65" w14:textId="77777777" w:rsidR="00B20B5A" w:rsidRPr="004A0E39" w:rsidRDefault="00B20B5A" w:rsidP="0006101A">
            <w:pPr>
              <w:rPr>
                <w:rFonts w:asciiTheme="minorHAnsi" w:eastAsia="Times New Roman" w:hAnsiTheme="minorHAnsi" w:cstheme="minorHAnsi"/>
                <w:lang w:eastAsia="en-GB"/>
              </w:rPr>
            </w:pPr>
          </w:p>
          <w:p w14:paraId="08190356" w14:textId="7691CEF1" w:rsidR="00A854CC" w:rsidRPr="004A0E39" w:rsidRDefault="00A854CC" w:rsidP="0006101A">
            <w:pPr>
              <w:rPr>
                <w:rFonts w:asciiTheme="minorHAnsi" w:eastAsia="Times New Roman" w:hAnsiTheme="minorHAnsi" w:cstheme="minorHAnsi"/>
                <w:lang w:eastAsia="en-GB"/>
              </w:rPr>
            </w:pPr>
          </w:p>
        </w:tc>
        <w:tc>
          <w:tcPr>
            <w:tcW w:w="5131" w:type="dxa"/>
          </w:tcPr>
          <w:p w14:paraId="4A7E7D0B" w14:textId="58A78CC2"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lastRenderedPageBreak/>
              <w:t>A thorough assessment and risk assessment i</w:t>
            </w:r>
            <w:r w:rsidR="007F1D50" w:rsidRPr="004A0E39">
              <w:rPr>
                <w:rFonts w:asciiTheme="minorHAnsi" w:hAnsiTheme="minorHAnsi" w:cstheme="minorHAnsi"/>
                <w:color w:val="000000"/>
              </w:rPr>
              <w:t xml:space="preserve">s </w:t>
            </w:r>
            <w:r w:rsidRPr="004A0E39">
              <w:rPr>
                <w:rFonts w:asciiTheme="minorHAnsi" w:hAnsiTheme="minorHAnsi" w:cstheme="minorHAnsi"/>
                <w:color w:val="000000"/>
              </w:rPr>
              <w:t>completed which provides information about the service, assess motivation to access treatment and gather information about risk, to ensure any risks can be managed.</w:t>
            </w:r>
          </w:p>
          <w:p w14:paraId="718FF977" w14:textId="77777777" w:rsidR="0058564A" w:rsidRPr="004A0E39" w:rsidRDefault="0058564A" w:rsidP="0058564A">
            <w:pPr>
              <w:rPr>
                <w:rFonts w:asciiTheme="minorHAnsi" w:hAnsiTheme="minorHAnsi" w:cstheme="minorHAnsi"/>
                <w:color w:val="000000"/>
              </w:rPr>
            </w:pPr>
          </w:p>
          <w:p w14:paraId="3B624EB4" w14:textId="2345ADB8" w:rsidR="0058564A" w:rsidRPr="004A0E39" w:rsidRDefault="0058564A" w:rsidP="0058564A">
            <w:pPr>
              <w:pStyle w:val="ListParagraph"/>
              <w:numPr>
                <w:ilvl w:val="0"/>
                <w:numId w:val="41"/>
              </w:numPr>
              <w:rPr>
                <w:rFonts w:asciiTheme="minorHAnsi" w:hAnsiTheme="minorHAnsi" w:cstheme="minorHAnsi"/>
                <w:color w:val="000000"/>
              </w:rPr>
            </w:pPr>
            <w:r w:rsidRPr="004A0E39">
              <w:rPr>
                <w:rFonts w:asciiTheme="minorHAnsi" w:hAnsiTheme="minorHAnsi" w:cstheme="minorHAnsi"/>
                <w:color w:val="000000"/>
              </w:rPr>
              <w:t>Referral received and assessment book</w:t>
            </w:r>
            <w:r w:rsidR="00556CF1" w:rsidRPr="004A0E39">
              <w:rPr>
                <w:rFonts w:asciiTheme="minorHAnsi" w:hAnsiTheme="minorHAnsi" w:cstheme="minorHAnsi"/>
                <w:color w:val="000000"/>
              </w:rPr>
              <w:t>ed</w:t>
            </w:r>
            <w:r w:rsidRPr="004A0E39">
              <w:rPr>
                <w:rFonts w:asciiTheme="minorHAnsi" w:hAnsiTheme="minorHAnsi" w:cstheme="minorHAnsi"/>
                <w:color w:val="000000"/>
              </w:rPr>
              <w:t xml:space="preserve"> in within 7 working days</w:t>
            </w:r>
            <w:r w:rsidR="00556CF1" w:rsidRPr="004A0E39">
              <w:rPr>
                <w:rFonts w:asciiTheme="minorHAnsi" w:hAnsiTheme="minorHAnsi" w:cstheme="minorHAnsi"/>
                <w:color w:val="000000"/>
              </w:rPr>
              <w:t xml:space="preserve"> </w:t>
            </w:r>
          </w:p>
          <w:p w14:paraId="45722EA0" w14:textId="6EC879B6" w:rsidR="0058564A" w:rsidRPr="004A0E39" w:rsidRDefault="0058564A" w:rsidP="0058564A">
            <w:pPr>
              <w:pStyle w:val="ListParagraph"/>
              <w:numPr>
                <w:ilvl w:val="0"/>
                <w:numId w:val="41"/>
              </w:numPr>
              <w:rPr>
                <w:rFonts w:asciiTheme="minorHAnsi" w:hAnsiTheme="minorHAnsi" w:cstheme="minorHAnsi"/>
                <w:color w:val="000000"/>
              </w:rPr>
            </w:pPr>
            <w:r w:rsidRPr="004A0E39">
              <w:rPr>
                <w:rFonts w:asciiTheme="minorHAnsi" w:hAnsiTheme="minorHAnsi" w:cstheme="minorHAnsi"/>
                <w:color w:val="000000"/>
              </w:rPr>
              <w:t xml:space="preserve">Assessment will take place </w:t>
            </w:r>
            <w:r w:rsidR="00B41718" w:rsidRPr="004A0E39">
              <w:rPr>
                <w:rFonts w:asciiTheme="minorHAnsi" w:hAnsiTheme="minorHAnsi" w:cstheme="minorHAnsi"/>
                <w:color w:val="000000"/>
              </w:rPr>
              <w:t>in custody or wherever the client deems suitable in the community</w:t>
            </w:r>
            <w:r w:rsidRPr="004A0E39">
              <w:rPr>
                <w:rFonts w:asciiTheme="minorHAnsi" w:hAnsiTheme="minorHAnsi" w:cstheme="minorHAnsi"/>
                <w:color w:val="000000"/>
              </w:rPr>
              <w:t>. Telephone assessments can be offered</w:t>
            </w:r>
            <w:r w:rsidR="00B41718" w:rsidRPr="004A0E39">
              <w:rPr>
                <w:rFonts w:asciiTheme="minorHAnsi" w:hAnsiTheme="minorHAnsi" w:cstheme="minorHAnsi"/>
                <w:color w:val="000000"/>
              </w:rPr>
              <w:t xml:space="preserve"> however we do prefer face to face.</w:t>
            </w:r>
            <w:r w:rsidRPr="004A0E39">
              <w:rPr>
                <w:rFonts w:asciiTheme="minorHAnsi" w:hAnsiTheme="minorHAnsi" w:cstheme="minorHAnsi"/>
                <w:color w:val="000000"/>
              </w:rPr>
              <w:t xml:space="preserve"> </w:t>
            </w:r>
          </w:p>
          <w:p w14:paraId="62144DFC" w14:textId="77777777" w:rsidR="00DA484A" w:rsidRPr="004A0E39" w:rsidRDefault="0058564A" w:rsidP="007F1D50">
            <w:pPr>
              <w:pStyle w:val="ListParagraph"/>
              <w:numPr>
                <w:ilvl w:val="0"/>
                <w:numId w:val="41"/>
              </w:numPr>
              <w:rPr>
                <w:rFonts w:asciiTheme="minorHAnsi" w:hAnsiTheme="minorHAnsi" w:cstheme="minorHAnsi"/>
                <w:color w:val="000000"/>
              </w:rPr>
            </w:pPr>
            <w:r w:rsidRPr="004A0E39">
              <w:rPr>
                <w:rFonts w:asciiTheme="minorHAnsi" w:hAnsiTheme="minorHAnsi" w:cstheme="minorHAnsi"/>
                <w:color w:val="000000"/>
              </w:rPr>
              <w:t xml:space="preserve">A decision of the assessment will be given to the individual </w:t>
            </w:r>
            <w:r w:rsidR="00B41718" w:rsidRPr="004A0E39">
              <w:rPr>
                <w:rFonts w:asciiTheme="minorHAnsi" w:hAnsiTheme="minorHAnsi" w:cstheme="minorHAnsi"/>
                <w:color w:val="000000"/>
              </w:rPr>
              <w:t>at the point of assessment</w:t>
            </w:r>
            <w:r w:rsidR="00DA484A" w:rsidRPr="004A0E39">
              <w:rPr>
                <w:rFonts w:asciiTheme="minorHAnsi" w:hAnsiTheme="minorHAnsi" w:cstheme="minorHAnsi"/>
                <w:color w:val="000000"/>
              </w:rPr>
              <w:t>.</w:t>
            </w:r>
          </w:p>
          <w:p w14:paraId="2F2BC805" w14:textId="5AA07187" w:rsidR="00B60247" w:rsidRPr="004A0E39" w:rsidRDefault="00DA484A" w:rsidP="007F1D50">
            <w:pPr>
              <w:pStyle w:val="ListParagraph"/>
              <w:numPr>
                <w:ilvl w:val="0"/>
                <w:numId w:val="41"/>
              </w:numPr>
              <w:rPr>
                <w:rFonts w:asciiTheme="minorHAnsi" w:hAnsiTheme="minorHAnsi" w:cstheme="minorHAnsi"/>
                <w:color w:val="000000"/>
              </w:rPr>
            </w:pPr>
            <w:r w:rsidRPr="004A0E39">
              <w:rPr>
                <w:rFonts w:asciiTheme="minorHAnsi" w:hAnsiTheme="minorHAnsi" w:cstheme="minorHAnsi"/>
                <w:color w:val="000000"/>
              </w:rPr>
              <w:t>A</w:t>
            </w:r>
            <w:r w:rsidR="00B41718" w:rsidRPr="004A0E39">
              <w:rPr>
                <w:rFonts w:asciiTheme="minorHAnsi" w:hAnsiTheme="minorHAnsi" w:cstheme="minorHAnsi"/>
                <w:color w:val="000000"/>
              </w:rPr>
              <w:t xml:space="preserve"> </w:t>
            </w:r>
            <w:r w:rsidR="00556CF1" w:rsidRPr="004A0E39">
              <w:rPr>
                <w:rFonts w:asciiTheme="minorHAnsi" w:hAnsiTheme="minorHAnsi" w:cstheme="minorHAnsi"/>
                <w:color w:val="000000"/>
              </w:rPr>
              <w:t>bed date</w:t>
            </w:r>
            <w:r w:rsidR="00B41718" w:rsidRPr="004A0E39">
              <w:rPr>
                <w:rFonts w:asciiTheme="minorHAnsi" w:hAnsiTheme="minorHAnsi" w:cstheme="minorHAnsi"/>
                <w:color w:val="000000"/>
              </w:rPr>
              <w:t xml:space="preserve"> cannot be guaranteed, we will work towards securing a bed for prison release</w:t>
            </w:r>
            <w:r w:rsidRPr="004A0E39">
              <w:rPr>
                <w:rFonts w:asciiTheme="minorHAnsi" w:hAnsiTheme="minorHAnsi" w:cstheme="minorHAnsi"/>
                <w:color w:val="000000"/>
              </w:rPr>
              <w:t xml:space="preserve">s and if a bed is not available for community </w:t>
            </w:r>
            <w:r w:rsidR="00556CF1" w:rsidRPr="004A0E39">
              <w:rPr>
                <w:rFonts w:asciiTheme="minorHAnsi" w:hAnsiTheme="minorHAnsi" w:cstheme="minorHAnsi"/>
                <w:color w:val="000000"/>
              </w:rPr>
              <w:t>referrals,</w:t>
            </w:r>
            <w:r w:rsidRPr="004A0E39">
              <w:rPr>
                <w:rFonts w:asciiTheme="minorHAnsi" w:hAnsiTheme="minorHAnsi" w:cstheme="minorHAnsi"/>
                <w:color w:val="000000"/>
              </w:rPr>
              <w:t xml:space="preserve"> they will be put on the waiting list.</w:t>
            </w:r>
          </w:p>
          <w:p w14:paraId="42A1A913" w14:textId="25A22C3A" w:rsidR="00DA484A" w:rsidRPr="004A0E39" w:rsidRDefault="00DA484A" w:rsidP="007F1D50">
            <w:pPr>
              <w:pStyle w:val="ListParagraph"/>
              <w:numPr>
                <w:ilvl w:val="0"/>
                <w:numId w:val="41"/>
              </w:numPr>
              <w:rPr>
                <w:rFonts w:asciiTheme="minorHAnsi" w:hAnsiTheme="minorHAnsi" w:cstheme="minorHAnsi"/>
                <w:color w:val="000000"/>
              </w:rPr>
            </w:pPr>
            <w:r w:rsidRPr="004A0E39">
              <w:rPr>
                <w:rFonts w:asciiTheme="minorHAnsi" w:hAnsiTheme="minorHAnsi" w:cstheme="minorHAnsi"/>
                <w:color w:val="000000"/>
              </w:rPr>
              <w:lastRenderedPageBreak/>
              <w:t>All CJ clients</w:t>
            </w:r>
            <w:r w:rsidR="00556CF1" w:rsidRPr="004A0E39">
              <w:rPr>
                <w:rFonts w:asciiTheme="minorHAnsi" w:hAnsiTheme="minorHAnsi" w:cstheme="minorHAnsi"/>
                <w:color w:val="000000"/>
              </w:rPr>
              <w:t xml:space="preserve"> will be informed that we will be requesting RMP and overview of pre cons f</w:t>
            </w:r>
            <w:r w:rsidR="004A0E39" w:rsidRPr="004A0E39">
              <w:rPr>
                <w:rFonts w:asciiTheme="minorHAnsi" w:hAnsiTheme="minorHAnsi" w:cstheme="minorHAnsi"/>
                <w:color w:val="000000"/>
              </w:rPr>
              <w:t>r</w:t>
            </w:r>
            <w:r w:rsidR="00556CF1" w:rsidRPr="004A0E39">
              <w:rPr>
                <w:rFonts w:asciiTheme="minorHAnsi" w:hAnsiTheme="minorHAnsi" w:cstheme="minorHAnsi"/>
                <w:color w:val="000000"/>
              </w:rPr>
              <w:t xml:space="preserve">om probation. </w:t>
            </w:r>
          </w:p>
        </w:tc>
      </w:tr>
      <w:tr w:rsidR="00B60247" w:rsidRPr="004A0E39" w14:paraId="05B839F2" w14:textId="77777777" w:rsidTr="0006101A">
        <w:tc>
          <w:tcPr>
            <w:tcW w:w="5075" w:type="dxa"/>
          </w:tcPr>
          <w:p w14:paraId="2DB747C9" w14:textId="73845567" w:rsidR="0079200F" w:rsidRPr="004A0E39" w:rsidRDefault="0058564A" w:rsidP="0058564A">
            <w:pPr>
              <w:rPr>
                <w:rFonts w:asciiTheme="minorHAnsi" w:eastAsia="Times New Roman" w:hAnsiTheme="minorHAnsi" w:cstheme="minorHAnsi"/>
                <w:lang w:eastAsia="en-GB"/>
              </w:rPr>
            </w:pPr>
            <w:r w:rsidRPr="004A0E39">
              <w:rPr>
                <w:rFonts w:asciiTheme="minorHAnsi" w:hAnsiTheme="minorHAnsi" w:cstheme="minorHAnsi"/>
                <w:color w:val="000000"/>
              </w:rPr>
              <w:lastRenderedPageBreak/>
              <w:t>Managing Prioritisation</w:t>
            </w:r>
          </w:p>
        </w:tc>
        <w:tc>
          <w:tcPr>
            <w:tcW w:w="5131" w:type="dxa"/>
          </w:tcPr>
          <w:p w14:paraId="7E998E88" w14:textId="4CB92BC3"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We are committed to manage the need to access our services in the fairest and most equitable way.  Prioritisation is based on assessment</w:t>
            </w:r>
            <w:r w:rsidR="00A721F7" w:rsidRPr="004A0E39">
              <w:rPr>
                <w:rFonts w:asciiTheme="minorHAnsi" w:hAnsiTheme="minorHAnsi" w:cstheme="minorHAnsi"/>
                <w:color w:val="000000"/>
              </w:rPr>
              <w:t>,</w:t>
            </w:r>
            <w:r w:rsidRPr="004A0E39">
              <w:rPr>
                <w:rFonts w:asciiTheme="minorHAnsi" w:hAnsiTheme="minorHAnsi" w:cstheme="minorHAnsi"/>
                <w:color w:val="000000"/>
              </w:rPr>
              <w:t xml:space="preserve"> physical health </w:t>
            </w:r>
            <w:proofErr w:type="gramStart"/>
            <w:r w:rsidRPr="004A0E39">
              <w:rPr>
                <w:rFonts w:asciiTheme="minorHAnsi" w:hAnsiTheme="minorHAnsi" w:cstheme="minorHAnsi"/>
                <w:color w:val="000000"/>
              </w:rPr>
              <w:t>needs</w:t>
            </w:r>
            <w:r w:rsidR="00A721F7" w:rsidRPr="004A0E39">
              <w:rPr>
                <w:rFonts w:asciiTheme="minorHAnsi" w:hAnsiTheme="minorHAnsi" w:cstheme="minorHAnsi"/>
                <w:color w:val="000000"/>
              </w:rPr>
              <w:t xml:space="preserve"> </w:t>
            </w:r>
            <w:r w:rsidRPr="004A0E39">
              <w:rPr>
                <w:rFonts w:asciiTheme="minorHAnsi" w:hAnsiTheme="minorHAnsi" w:cstheme="minorHAnsi"/>
                <w:color w:val="000000"/>
              </w:rPr>
              <w:t>.</w:t>
            </w:r>
            <w:proofErr w:type="gramEnd"/>
            <w:r w:rsidRPr="004A0E39">
              <w:rPr>
                <w:rFonts w:asciiTheme="minorHAnsi" w:hAnsiTheme="minorHAnsi" w:cstheme="minorHAnsi"/>
                <w:color w:val="000000"/>
              </w:rPr>
              <w:t xml:space="preserve"> </w:t>
            </w:r>
          </w:p>
          <w:p w14:paraId="63FE022C" w14:textId="77777777" w:rsidR="0058564A" w:rsidRPr="004A0E39" w:rsidRDefault="0058564A" w:rsidP="0058564A">
            <w:pPr>
              <w:rPr>
                <w:rFonts w:asciiTheme="minorHAnsi" w:hAnsiTheme="minorHAnsi" w:cstheme="minorHAnsi"/>
                <w:color w:val="000000"/>
              </w:rPr>
            </w:pPr>
          </w:p>
          <w:p w14:paraId="22A63B1C" w14:textId="77777777"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We shall assess and prioritise applications giving priority to people in greatest need of the Service.</w:t>
            </w:r>
          </w:p>
          <w:p w14:paraId="5E3674F1" w14:textId="77777777" w:rsidR="0058564A" w:rsidRPr="004A0E39" w:rsidRDefault="0058564A" w:rsidP="0058564A">
            <w:pPr>
              <w:rPr>
                <w:rFonts w:asciiTheme="minorHAnsi" w:hAnsiTheme="minorHAnsi" w:cstheme="minorHAnsi"/>
                <w:color w:val="000000"/>
              </w:rPr>
            </w:pPr>
          </w:p>
          <w:p w14:paraId="6A311E3C" w14:textId="77777777"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Discharge process:</w:t>
            </w:r>
          </w:p>
          <w:p w14:paraId="7961D815" w14:textId="77777777" w:rsidR="0058564A" w:rsidRPr="004A0E39" w:rsidRDefault="0058564A" w:rsidP="0058564A">
            <w:pPr>
              <w:rPr>
                <w:rFonts w:asciiTheme="minorHAnsi" w:hAnsiTheme="minorHAnsi" w:cstheme="minorHAnsi"/>
                <w:color w:val="000000"/>
              </w:rPr>
            </w:pPr>
          </w:p>
          <w:p w14:paraId="39AB9A3C" w14:textId="77777777"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 xml:space="preserve">Planned Discharge Definition: This is a prior arranged exit from the service usually coinciding with the length of funding.  </w:t>
            </w:r>
          </w:p>
          <w:p w14:paraId="0748CC56" w14:textId="77777777" w:rsidR="0058564A" w:rsidRPr="004A0E39" w:rsidRDefault="0058564A" w:rsidP="0058564A">
            <w:pPr>
              <w:rPr>
                <w:rFonts w:asciiTheme="minorHAnsi" w:hAnsiTheme="minorHAnsi" w:cstheme="minorHAnsi"/>
                <w:color w:val="000000"/>
              </w:rPr>
            </w:pPr>
          </w:p>
          <w:p w14:paraId="0ED3BF3C" w14:textId="77777777"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 xml:space="preserve">Unplanned Discharge Definition: An exit from the service that was not envisaged. Examples could be a relapse, threatening behaviour/violence. </w:t>
            </w:r>
          </w:p>
          <w:p w14:paraId="6C5C18EA" w14:textId="77777777" w:rsidR="0058564A" w:rsidRPr="004A0E39" w:rsidRDefault="0058564A" w:rsidP="0058564A">
            <w:pPr>
              <w:rPr>
                <w:rFonts w:asciiTheme="minorHAnsi" w:hAnsiTheme="minorHAnsi" w:cstheme="minorHAnsi"/>
                <w:color w:val="000000"/>
              </w:rPr>
            </w:pPr>
          </w:p>
          <w:p w14:paraId="2434CB16" w14:textId="77777777"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 xml:space="preserve">There is a warning process whereby if a client moves through the stages, Stage 1, stage 2, the final stage is a 28-day notice, and then discharge. </w:t>
            </w:r>
          </w:p>
          <w:p w14:paraId="185FCB0F" w14:textId="77777777" w:rsidR="0058564A" w:rsidRPr="004A0E39" w:rsidRDefault="0058564A" w:rsidP="0058564A">
            <w:pPr>
              <w:rPr>
                <w:rFonts w:asciiTheme="minorHAnsi" w:hAnsiTheme="minorHAnsi" w:cstheme="minorHAnsi"/>
                <w:color w:val="000000"/>
              </w:rPr>
            </w:pPr>
          </w:p>
          <w:p w14:paraId="2DFDBD8A" w14:textId="77777777"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Care manager will be kept informed if clients are issued with warnings.</w:t>
            </w:r>
          </w:p>
          <w:p w14:paraId="7A5D2EB9" w14:textId="77777777" w:rsidR="0058564A" w:rsidRPr="004A0E39" w:rsidRDefault="0058564A" w:rsidP="0058564A">
            <w:pPr>
              <w:rPr>
                <w:rFonts w:asciiTheme="minorHAnsi" w:hAnsiTheme="minorHAnsi" w:cstheme="minorHAnsi"/>
                <w:color w:val="000000"/>
              </w:rPr>
            </w:pPr>
          </w:p>
          <w:p w14:paraId="63D65602" w14:textId="7412D626" w:rsidR="0058564A" w:rsidRPr="004A0E39" w:rsidRDefault="0058564A" w:rsidP="0058564A">
            <w:pPr>
              <w:rPr>
                <w:rFonts w:asciiTheme="minorHAnsi" w:hAnsiTheme="minorHAnsi" w:cstheme="minorHAnsi"/>
                <w:color w:val="000000"/>
              </w:rPr>
            </w:pPr>
            <w:r w:rsidRPr="004A0E39">
              <w:rPr>
                <w:rFonts w:asciiTheme="minorHAnsi" w:hAnsiTheme="minorHAnsi" w:cstheme="minorHAnsi"/>
                <w:color w:val="000000"/>
              </w:rPr>
              <w:t>A serious incident that results in immediate discharge.</w:t>
            </w:r>
          </w:p>
          <w:p w14:paraId="11AE69CB" w14:textId="77777777" w:rsidR="007F1D50" w:rsidRPr="004A0E39" w:rsidRDefault="007F1D50" w:rsidP="0058564A">
            <w:pPr>
              <w:rPr>
                <w:rFonts w:asciiTheme="minorHAnsi" w:hAnsiTheme="minorHAnsi" w:cstheme="minorHAnsi"/>
                <w:color w:val="000000"/>
              </w:rPr>
            </w:pPr>
          </w:p>
          <w:p w14:paraId="61742AE4" w14:textId="77777777" w:rsidR="00C016A5" w:rsidRPr="004A0E39" w:rsidRDefault="00C016A5" w:rsidP="00C016A5">
            <w:pPr>
              <w:rPr>
                <w:rFonts w:asciiTheme="minorHAnsi" w:hAnsiTheme="minorHAnsi" w:cstheme="minorHAnsi"/>
                <w:color w:val="000000"/>
              </w:rPr>
            </w:pPr>
            <w:r w:rsidRPr="004A0E39">
              <w:rPr>
                <w:rFonts w:asciiTheme="minorHAnsi" w:hAnsiTheme="minorHAnsi" w:cstheme="minorHAnsi"/>
                <w:color w:val="000000"/>
              </w:rPr>
              <w:t xml:space="preserve">If a decision is made to discharge an individual before their expected end date, staff will follow the client discharge plan, and we will inform the care manager and any other consented persons on file. </w:t>
            </w:r>
          </w:p>
          <w:p w14:paraId="409E6251" w14:textId="77777777" w:rsidR="00C016A5" w:rsidRPr="004A0E39" w:rsidRDefault="00C016A5" w:rsidP="00C016A5">
            <w:pPr>
              <w:rPr>
                <w:rFonts w:asciiTheme="minorHAnsi" w:hAnsiTheme="minorHAnsi" w:cstheme="minorHAnsi"/>
                <w:color w:val="000000"/>
              </w:rPr>
            </w:pPr>
          </w:p>
          <w:p w14:paraId="7059E9CA" w14:textId="2530ED6C" w:rsidR="00C016A5" w:rsidRPr="004A0E39" w:rsidRDefault="00C016A5" w:rsidP="00C016A5">
            <w:pPr>
              <w:rPr>
                <w:rFonts w:asciiTheme="minorHAnsi" w:hAnsiTheme="minorHAnsi" w:cstheme="minorHAnsi"/>
                <w:color w:val="000000"/>
              </w:rPr>
            </w:pPr>
            <w:r w:rsidRPr="004A0E39">
              <w:rPr>
                <w:rFonts w:asciiTheme="minorHAnsi" w:hAnsiTheme="minorHAnsi" w:cstheme="minorHAnsi"/>
                <w:color w:val="000000"/>
              </w:rPr>
              <w:t>Managing a safe discharge</w:t>
            </w:r>
            <w:r w:rsidR="007F1D50" w:rsidRPr="004A0E39">
              <w:rPr>
                <w:rFonts w:asciiTheme="minorHAnsi" w:hAnsiTheme="minorHAnsi" w:cstheme="minorHAnsi"/>
                <w:color w:val="000000"/>
              </w:rPr>
              <w:t xml:space="preserve">, </w:t>
            </w:r>
            <w:proofErr w:type="gramStart"/>
            <w:r w:rsidRPr="004A0E39">
              <w:rPr>
                <w:rFonts w:asciiTheme="minorHAnsi" w:hAnsiTheme="minorHAnsi" w:cstheme="minorHAnsi"/>
                <w:color w:val="000000"/>
              </w:rPr>
              <w:t>The</w:t>
            </w:r>
            <w:proofErr w:type="gramEnd"/>
            <w:r w:rsidRPr="004A0E39">
              <w:rPr>
                <w:rFonts w:asciiTheme="minorHAnsi" w:hAnsiTheme="minorHAnsi" w:cstheme="minorHAnsi"/>
                <w:color w:val="000000"/>
              </w:rPr>
              <w:t xml:space="preserve"> services have a responsibility to ensure anyone leaving the service which is unplanned is kept as safe as practicably possible</w:t>
            </w:r>
            <w:r w:rsidR="007F1D50" w:rsidRPr="004A0E39">
              <w:rPr>
                <w:rFonts w:asciiTheme="minorHAnsi" w:hAnsiTheme="minorHAnsi" w:cstheme="minorHAnsi"/>
                <w:color w:val="000000"/>
              </w:rPr>
              <w:t xml:space="preserve">, </w:t>
            </w:r>
            <w:r w:rsidRPr="004A0E39">
              <w:rPr>
                <w:rFonts w:asciiTheme="minorHAnsi" w:hAnsiTheme="minorHAnsi" w:cstheme="minorHAnsi"/>
                <w:color w:val="000000"/>
              </w:rPr>
              <w:t>This might involve:</w:t>
            </w:r>
          </w:p>
          <w:p w14:paraId="61111E7A" w14:textId="77777777" w:rsidR="007F1D50" w:rsidRPr="004A0E39" w:rsidRDefault="007F1D50" w:rsidP="00C016A5">
            <w:pPr>
              <w:rPr>
                <w:rFonts w:asciiTheme="minorHAnsi" w:hAnsiTheme="minorHAnsi" w:cstheme="minorHAnsi"/>
                <w:color w:val="000000"/>
              </w:rPr>
            </w:pPr>
          </w:p>
          <w:p w14:paraId="446ACFC3" w14:textId="77777777" w:rsidR="00C016A5" w:rsidRPr="004A0E39" w:rsidRDefault="00C016A5" w:rsidP="00C016A5">
            <w:pPr>
              <w:pStyle w:val="ListParagraph"/>
              <w:numPr>
                <w:ilvl w:val="0"/>
                <w:numId w:val="42"/>
              </w:numPr>
              <w:rPr>
                <w:rFonts w:asciiTheme="minorHAnsi" w:hAnsiTheme="minorHAnsi" w:cstheme="minorHAnsi"/>
                <w:color w:val="000000"/>
              </w:rPr>
            </w:pPr>
            <w:r w:rsidRPr="004A0E39">
              <w:rPr>
                <w:rFonts w:asciiTheme="minorHAnsi" w:hAnsiTheme="minorHAnsi" w:cstheme="minorHAnsi"/>
                <w:color w:val="000000"/>
              </w:rPr>
              <w:t>Not discharging out of hours (during the night/weekends when other services are closed)</w:t>
            </w:r>
          </w:p>
          <w:p w14:paraId="50B13C89" w14:textId="77777777" w:rsidR="00C016A5" w:rsidRPr="004A0E39" w:rsidRDefault="00C016A5" w:rsidP="00C016A5">
            <w:pPr>
              <w:pStyle w:val="ListParagraph"/>
              <w:numPr>
                <w:ilvl w:val="0"/>
                <w:numId w:val="42"/>
              </w:numPr>
              <w:rPr>
                <w:rFonts w:asciiTheme="minorHAnsi" w:hAnsiTheme="minorHAnsi" w:cstheme="minorHAnsi"/>
                <w:color w:val="000000"/>
              </w:rPr>
            </w:pPr>
            <w:r w:rsidRPr="004A0E39">
              <w:rPr>
                <w:rFonts w:asciiTheme="minorHAnsi" w:hAnsiTheme="minorHAnsi" w:cstheme="minorHAnsi"/>
                <w:color w:val="000000"/>
              </w:rPr>
              <w:lastRenderedPageBreak/>
              <w:t>Care manager has been kept informed of any warning processes and agree with the discharge plan</w:t>
            </w:r>
          </w:p>
          <w:p w14:paraId="3A6C45A9" w14:textId="77777777" w:rsidR="00C016A5" w:rsidRPr="004A0E39" w:rsidRDefault="00C016A5" w:rsidP="00C016A5">
            <w:pPr>
              <w:pStyle w:val="ListParagraph"/>
              <w:numPr>
                <w:ilvl w:val="0"/>
                <w:numId w:val="42"/>
              </w:numPr>
              <w:rPr>
                <w:rFonts w:asciiTheme="minorHAnsi" w:hAnsiTheme="minorHAnsi" w:cstheme="minorHAnsi"/>
                <w:color w:val="000000"/>
              </w:rPr>
            </w:pPr>
            <w:r w:rsidRPr="004A0E39">
              <w:rPr>
                <w:rFonts w:asciiTheme="minorHAnsi" w:hAnsiTheme="minorHAnsi" w:cstheme="minorHAnsi"/>
                <w:color w:val="000000"/>
              </w:rPr>
              <w:t xml:space="preserve">Always endeavour to source alternative accommodation </w:t>
            </w:r>
          </w:p>
          <w:p w14:paraId="66B941D4" w14:textId="77777777" w:rsidR="00C016A5" w:rsidRPr="004A0E39" w:rsidRDefault="00C016A5" w:rsidP="00C016A5">
            <w:pPr>
              <w:pStyle w:val="ListParagraph"/>
              <w:numPr>
                <w:ilvl w:val="0"/>
                <w:numId w:val="42"/>
              </w:numPr>
              <w:rPr>
                <w:rFonts w:asciiTheme="minorHAnsi" w:hAnsiTheme="minorHAnsi" w:cstheme="minorHAnsi"/>
                <w:color w:val="000000"/>
              </w:rPr>
            </w:pPr>
            <w:r w:rsidRPr="004A0E39">
              <w:rPr>
                <w:rFonts w:asciiTheme="minorHAnsi" w:hAnsiTheme="minorHAnsi" w:cstheme="minorHAnsi"/>
                <w:color w:val="000000"/>
              </w:rPr>
              <w:t>Referral back to community service</w:t>
            </w:r>
          </w:p>
          <w:p w14:paraId="6C1F4F42" w14:textId="77777777" w:rsidR="00C016A5" w:rsidRPr="004A0E39" w:rsidRDefault="00C016A5" w:rsidP="00C016A5">
            <w:pPr>
              <w:pStyle w:val="ListParagraph"/>
              <w:numPr>
                <w:ilvl w:val="0"/>
                <w:numId w:val="42"/>
              </w:numPr>
              <w:rPr>
                <w:rFonts w:asciiTheme="minorHAnsi" w:hAnsiTheme="minorHAnsi" w:cstheme="minorHAnsi"/>
                <w:color w:val="000000"/>
              </w:rPr>
            </w:pPr>
            <w:r w:rsidRPr="004A0E39">
              <w:rPr>
                <w:rFonts w:asciiTheme="minorHAnsi" w:hAnsiTheme="minorHAnsi" w:cstheme="minorHAnsi"/>
                <w:color w:val="000000"/>
              </w:rPr>
              <w:t xml:space="preserve">Consented concerned others are kept informed </w:t>
            </w:r>
          </w:p>
          <w:p w14:paraId="083090BD" w14:textId="77777777" w:rsidR="00C016A5" w:rsidRPr="004A0E39" w:rsidRDefault="00C016A5" w:rsidP="00C016A5">
            <w:pPr>
              <w:pStyle w:val="ListParagraph"/>
              <w:numPr>
                <w:ilvl w:val="0"/>
                <w:numId w:val="42"/>
              </w:numPr>
              <w:rPr>
                <w:rFonts w:asciiTheme="minorHAnsi" w:hAnsiTheme="minorHAnsi" w:cstheme="minorHAnsi"/>
                <w:color w:val="000000"/>
              </w:rPr>
            </w:pPr>
            <w:r w:rsidRPr="004A0E39">
              <w:rPr>
                <w:rFonts w:asciiTheme="minorHAnsi" w:hAnsiTheme="minorHAnsi" w:cstheme="minorHAnsi"/>
                <w:color w:val="000000"/>
              </w:rPr>
              <w:t xml:space="preserve">If individuals leave without informing staff, concern for welfare is raised with appropriate services </w:t>
            </w:r>
          </w:p>
          <w:p w14:paraId="4A2D5C94" w14:textId="77777777" w:rsidR="00C016A5" w:rsidRPr="004A0E39" w:rsidRDefault="00C016A5" w:rsidP="00C016A5">
            <w:pPr>
              <w:rPr>
                <w:rFonts w:asciiTheme="minorHAnsi" w:hAnsiTheme="minorHAnsi" w:cstheme="minorHAnsi"/>
                <w:color w:val="000000"/>
              </w:rPr>
            </w:pPr>
          </w:p>
          <w:p w14:paraId="49458344" w14:textId="77777777" w:rsidR="00C016A5" w:rsidRPr="004A0E39" w:rsidRDefault="00C016A5" w:rsidP="00C016A5">
            <w:pPr>
              <w:rPr>
                <w:rFonts w:asciiTheme="minorHAnsi" w:hAnsiTheme="minorHAnsi" w:cstheme="minorHAnsi"/>
                <w:color w:val="000000"/>
              </w:rPr>
            </w:pPr>
            <w:r w:rsidRPr="004A0E39">
              <w:rPr>
                <w:rFonts w:asciiTheme="minorHAnsi" w:hAnsiTheme="minorHAnsi" w:cstheme="minorHAnsi"/>
                <w:color w:val="000000"/>
              </w:rPr>
              <w:t xml:space="preserve">Relapse </w:t>
            </w:r>
            <w:proofErr w:type="gramStart"/>
            <w:r w:rsidRPr="004A0E39">
              <w:rPr>
                <w:rFonts w:asciiTheme="minorHAnsi" w:hAnsiTheme="minorHAnsi" w:cstheme="minorHAnsi"/>
                <w:color w:val="000000"/>
              </w:rPr>
              <w:t>doesn’t</w:t>
            </w:r>
            <w:proofErr w:type="gramEnd"/>
            <w:r w:rsidRPr="004A0E39">
              <w:rPr>
                <w:rFonts w:asciiTheme="minorHAnsi" w:hAnsiTheme="minorHAnsi" w:cstheme="minorHAnsi"/>
                <w:color w:val="000000"/>
              </w:rPr>
              <w:t xml:space="preserve"> always result in immediate discharge, work will be done with individuals to understand the relapse, if a person wants to remain in treatment, and the care manager agrees, there may be the possibility to remain. </w:t>
            </w:r>
          </w:p>
          <w:p w14:paraId="0AC997F4" w14:textId="77777777" w:rsidR="00C016A5" w:rsidRPr="004A0E39" w:rsidRDefault="00C016A5" w:rsidP="00C016A5">
            <w:pPr>
              <w:rPr>
                <w:rFonts w:asciiTheme="minorHAnsi" w:hAnsiTheme="minorHAnsi" w:cstheme="minorHAnsi"/>
                <w:color w:val="000000"/>
              </w:rPr>
            </w:pPr>
          </w:p>
          <w:p w14:paraId="6B49B52C" w14:textId="6501FB0E" w:rsidR="004A0E39" w:rsidRPr="004A0E39" w:rsidRDefault="00C016A5" w:rsidP="00F01443">
            <w:pPr>
              <w:rPr>
                <w:rFonts w:asciiTheme="minorHAnsi" w:hAnsiTheme="minorHAnsi" w:cstheme="minorHAnsi"/>
                <w:color w:val="000000"/>
              </w:rPr>
            </w:pPr>
            <w:r w:rsidRPr="004A0E39">
              <w:rPr>
                <w:rFonts w:asciiTheme="minorHAnsi" w:hAnsiTheme="minorHAnsi" w:cstheme="minorHAnsi"/>
                <w:color w:val="000000"/>
              </w:rPr>
              <w:t xml:space="preserve">An individual who </w:t>
            </w:r>
            <w:r w:rsidR="007F1D50" w:rsidRPr="004A0E39">
              <w:rPr>
                <w:rFonts w:asciiTheme="minorHAnsi" w:hAnsiTheme="minorHAnsi" w:cstheme="minorHAnsi"/>
                <w:color w:val="000000"/>
              </w:rPr>
              <w:t>chooses</w:t>
            </w:r>
            <w:r w:rsidRPr="004A0E39">
              <w:rPr>
                <w:rFonts w:asciiTheme="minorHAnsi" w:hAnsiTheme="minorHAnsi" w:cstheme="minorHAnsi"/>
                <w:color w:val="000000"/>
              </w:rPr>
              <w:t xml:space="preserve"> to leave treatment, will not be discriminated against if attempting to reengaging in treatment </w:t>
            </w:r>
            <w:r w:rsidR="007F1D50" w:rsidRPr="004A0E39">
              <w:rPr>
                <w:rFonts w:asciiTheme="minorHAnsi" w:hAnsiTheme="minorHAnsi" w:cstheme="minorHAnsi"/>
                <w:color w:val="000000"/>
              </w:rPr>
              <w:t>later</w:t>
            </w:r>
            <w:r w:rsidRPr="004A0E39">
              <w:rPr>
                <w:rFonts w:asciiTheme="minorHAnsi" w:hAnsiTheme="minorHAnsi" w:cstheme="minorHAnsi"/>
                <w:color w:val="000000"/>
              </w:rPr>
              <w:t>.</w:t>
            </w:r>
          </w:p>
        </w:tc>
      </w:tr>
      <w:tr w:rsidR="002E7C35" w:rsidRPr="004A0E39" w14:paraId="42E048CD" w14:textId="77777777" w:rsidTr="0006101A">
        <w:tc>
          <w:tcPr>
            <w:tcW w:w="5075" w:type="dxa"/>
          </w:tcPr>
          <w:p w14:paraId="42D5B4C9" w14:textId="77777777" w:rsidR="002E7C35" w:rsidRPr="004A0E39" w:rsidRDefault="002E7C35" w:rsidP="002E7C35">
            <w:pPr>
              <w:rPr>
                <w:rFonts w:asciiTheme="minorHAnsi" w:hAnsiTheme="minorHAnsi" w:cstheme="minorHAnsi"/>
                <w:color w:val="000000"/>
              </w:rPr>
            </w:pPr>
            <w:r w:rsidRPr="004A0E39">
              <w:rPr>
                <w:rFonts w:asciiTheme="minorHAnsi" w:hAnsiTheme="minorHAnsi" w:cstheme="minorHAnsi"/>
                <w:color w:val="000000"/>
              </w:rPr>
              <w:lastRenderedPageBreak/>
              <w:t>Reasons for discharge:</w:t>
            </w:r>
          </w:p>
          <w:p w14:paraId="2F062A1C" w14:textId="77777777" w:rsidR="002E7C35" w:rsidRPr="004A0E39" w:rsidRDefault="002E7C35" w:rsidP="0058564A">
            <w:pPr>
              <w:rPr>
                <w:rFonts w:asciiTheme="minorHAnsi" w:hAnsiTheme="minorHAnsi" w:cstheme="minorHAnsi"/>
                <w:color w:val="000000"/>
              </w:rPr>
            </w:pPr>
          </w:p>
        </w:tc>
        <w:tc>
          <w:tcPr>
            <w:tcW w:w="5131" w:type="dxa"/>
          </w:tcPr>
          <w:p w14:paraId="332DFEB6" w14:textId="77777777" w:rsidR="002E7C35" w:rsidRPr="004A0E39" w:rsidRDefault="002E7C35" w:rsidP="002E7C35">
            <w:pPr>
              <w:pStyle w:val="ListParagraph"/>
              <w:numPr>
                <w:ilvl w:val="0"/>
                <w:numId w:val="43"/>
              </w:numPr>
              <w:rPr>
                <w:rFonts w:asciiTheme="minorHAnsi" w:hAnsiTheme="minorHAnsi" w:cstheme="minorHAnsi"/>
                <w:color w:val="000000"/>
              </w:rPr>
            </w:pPr>
            <w:r w:rsidRPr="004A0E39">
              <w:rPr>
                <w:rFonts w:asciiTheme="minorHAnsi" w:hAnsiTheme="minorHAnsi" w:cstheme="minorHAnsi"/>
                <w:color w:val="000000"/>
              </w:rPr>
              <w:t>Relapse – this is done on a case-by-case basis and does not always result in immediate discharge</w:t>
            </w:r>
          </w:p>
          <w:p w14:paraId="06915E65" w14:textId="77777777" w:rsidR="002E7C35" w:rsidRPr="004A0E39" w:rsidRDefault="002E7C35" w:rsidP="002E7C35">
            <w:pPr>
              <w:pStyle w:val="ListParagraph"/>
              <w:numPr>
                <w:ilvl w:val="0"/>
                <w:numId w:val="43"/>
              </w:numPr>
              <w:rPr>
                <w:rFonts w:asciiTheme="minorHAnsi" w:hAnsiTheme="minorHAnsi" w:cstheme="minorHAnsi"/>
                <w:color w:val="000000"/>
              </w:rPr>
            </w:pPr>
            <w:r w:rsidRPr="004A0E39">
              <w:rPr>
                <w:rFonts w:asciiTheme="minorHAnsi" w:hAnsiTheme="minorHAnsi" w:cstheme="minorHAnsi"/>
                <w:color w:val="000000"/>
              </w:rPr>
              <w:t>Violence to other service users and/or staff</w:t>
            </w:r>
          </w:p>
          <w:p w14:paraId="11DEFDBE" w14:textId="77777777" w:rsidR="002E7C35" w:rsidRPr="004A0E39" w:rsidRDefault="002E7C35" w:rsidP="002E7C35">
            <w:pPr>
              <w:pStyle w:val="ListParagraph"/>
              <w:numPr>
                <w:ilvl w:val="0"/>
                <w:numId w:val="43"/>
              </w:numPr>
              <w:rPr>
                <w:rFonts w:asciiTheme="minorHAnsi" w:hAnsiTheme="minorHAnsi" w:cstheme="minorHAnsi"/>
                <w:color w:val="000000"/>
              </w:rPr>
            </w:pPr>
            <w:r w:rsidRPr="004A0E39">
              <w:rPr>
                <w:rFonts w:asciiTheme="minorHAnsi" w:hAnsiTheme="minorHAnsi" w:cstheme="minorHAnsi"/>
                <w:color w:val="000000"/>
              </w:rPr>
              <w:t>Escalation through warning process that results in the final warning and discharge</w:t>
            </w:r>
          </w:p>
          <w:p w14:paraId="32B92C94" w14:textId="77777777" w:rsidR="002E7C35" w:rsidRPr="004A0E39" w:rsidRDefault="002E7C35" w:rsidP="002E7C35">
            <w:pPr>
              <w:pStyle w:val="ListParagraph"/>
              <w:numPr>
                <w:ilvl w:val="0"/>
                <w:numId w:val="43"/>
              </w:numPr>
              <w:rPr>
                <w:rFonts w:asciiTheme="minorHAnsi" w:hAnsiTheme="minorHAnsi" w:cstheme="minorHAnsi"/>
                <w:color w:val="000000"/>
              </w:rPr>
            </w:pPr>
            <w:r w:rsidRPr="004A0E39">
              <w:rPr>
                <w:rFonts w:asciiTheme="minorHAnsi" w:hAnsiTheme="minorHAnsi" w:cstheme="minorHAnsi"/>
                <w:color w:val="000000"/>
              </w:rPr>
              <w:t>Not engaging in the therapeutic programme</w:t>
            </w:r>
          </w:p>
          <w:p w14:paraId="04EFF958" w14:textId="77777777" w:rsidR="002E7C35" w:rsidRPr="004A0E39" w:rsidRDefault="002E7C35" w:rsidP="002E7C35">
            <w:pPr>
              <w:pStyle w:val="ListParagraph"/>
              <w:numPr>
                <w:ilvl w:val="0"/>
                <w:numId w:val="43"/>
              </w:numPr>
              <w:rPr>
                <w:rFonts w:asciiTheme="minorHAnsi" w:hAnsiTheme="minorHAnsi" w:cstheme="minorHAnsi"/>
                <w:color w:val="000000"/>
              </w:rPr>
            </w:pPr>
            <w:r w:rsidRPr="004A0E39">
              <w:rPr>
                <w:rFonts w:asciiTheme="minorHAnsi" w:hAnsiTheme="minorHAnsi" w:cstheme="minorHAnsi"/>
                <w:color w:val="000000"/>
              </w:rPr>
              <w:t>A decline in physical health that cannot be managed by the service</w:t>
            </w:r>
          </w:p>
          <w:p w14:paraId="1A8A3357" w14:textId="372D6ED7" w:rsidR="002E7C35" w:rsidRPr="004A0E39" w:rsidRDefault="002E7C35" w:rsidP="0058564A">
            <w:pPr>
              <w:pStyle w:val="ListParagraph"/>
              <w:numPr>
                <w:ilvl w:val="0"/>
                <w:numId w:val="43"/>
              </w:numPr>
              <w:rPr>
                <w:rFonts w:asciiTheme="minorHAnsi" w:hAnsiTheme="minorHAnsi" w:cstheme="minorHAnsi"/>
                <w:color w:val="000000"/>
              </w:rPr>
            </w:pPr>
            <w:r w:rsidRPr="004A0E39">
              <w:rPr>
                <w:rFonts w:asciiTheme="minorHAnsi" w:hAnsiTheme="minorHAnsi" w:cstheme="minorHAnsi"/>
                <w:color w:val="000000"/>
              </w:rPr>
              <w:t>A decline in mental health that cannot be managed by the service</w:t>
            </w:r>
          </w:p>
        </w:tc>
      </w:tr>
      <w:tr w:rsidR="0006101A" w14:paraId="037EED57" w14:textId="77777777" w:rsidTr="00544CE4">
        <w:tc>
          <w:tcPr>
            <w:tcW w:w="10206" w:type="dxa"/>
            <w:gridSpan w:val="2"/>
          </w:tcPr>
          <w:p w14:paraId="794C69AC" w14:textId="5F8E3C98" w:rsidR="003B64A5" w:rsidRPr="003B64A5" w:rsidRDefault="003B64A5" w:rsidP="0006101A">
            <w:pPr>
              <w:rPr>
                <w:rFonts w:ascii="Verdana" w:hAnsi="Verdana" w:cstheme="minorHAnsi"/>
                <w:color w:val="FF0000"/>
              </w:rPr>
            </w:pPr>
          </w:p>
        </w:tc>
      </w:tr>
    </w:tbl>
    <w:p w14:paraId="649699B4" w14:textId="2EA6F0D5" w:rsidR="00354974" w:rsidRPr="00FC24C6" w:rsidRDefault="00354974" w:rsidP="0006101A">
      <w:pPr>
        <w:autoSpaceDE w:val="0"/>
        <w:autoSpaceDN w:val="0"/>
        <w:adjustRightInd w:val="0"/>
        <w:spacing w:after="0" w:line="240" w:lineRule="auto"/>
        <w:rPr>
          <w:rFonts w:ascii="Verdana" w:hAnsi="Verdana" w:cstheme="majorBidi"/>
          <w:b/>
          <w:bCs/>
          <w:spacing w:val="5"/>
        </w:rPr>
      </w:pPr>
    </w:p>
    <w:sectPr w:rsidR="00354974" w:rsidRPr="00FC24C6" w:rsidSect="00BA1546">
      <w:headerReference w:type="default" r:id="rId10"/>
      <w:footerReference w:type="default" r:id="rId11"/>
      <w:headerReference w:type="first" r:id="rId12"/>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68ED" w14:textId="77777777" w:rsidR="00F766C5" w:rsidRDefault="00F766C5" w:rsidP="00B80FA8">
      <w:pPr>
        <w:spacing w:after="0" w:line="240" w:lineRule="auto"/>
      </w:pPr>
      <w:r>
        <w:separator/>
      </w:r>
    </w:p>
  </w:endnote>
  <w:endnote w:type="continuationSeparator" w:id="0">
    <w:p w14:paraId="4D4B17A9" w14:textId="77777777" w:rsidR="00F766C5" w:rsidRDefault="00F766C5"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808080" w:themeColor="background1" w:themeShade="80"/>
        <w:sz w:val="22"/>
        <w:szCs w:val="22"/>
      </w:rPr>
      <w:id w:val="-1854714111"/>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sz w:val="22"/>
            <w:szCs w:val="22"/>
          </w:rPr>
          <w:id w:val="-1669238322"/>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159971452"/>
              <w:docPartObj>
                <w:docPartGallery w:val="Page Numbers (Top of Page)"/>
                <w:docPartUnique/>
              </w:docPartObj>
            </w:sdtPr>
            <w:sdtEndPr/>
            <w:sdtContent>
              <w:p w14:paraId="0FAD5677" w14:textId="77777777" w:rsidR="002E69E4" w:rsidRPr="00CE76FD" w:rsidRDefault="002E69E4" w:rsidP="008B11E3">
                <w:pPr>
                  <w:pStyle w:val="Footer"/>
                  <w:jc w:val="center"/>
                  <w:rPr>
                    <w:b/>
                    <w:bCs/>
                    <w:color w:val="1A85B1"/>
                  </w:rPr>
                </w:pPr>
                <w:r w:rsidRPr="00CE76FD">
                  <w:rPr>
                    <w:color w:val="1A85B1"/>
                  </w:rPr>
                  <w:t xml:space="preserve">Page </w:t>
                </w:r>
                <w:r w:rsidRPr="00CE76FD">
                  <w:rPr>
                    <w:b/>
                    <w:bCs/>
                    <w:color w:val="1A85B1"/>
                  </w:rPr>
                  <w:fldChar w:fldCharType="begin"/>
                </w:r>
                <w:r w:rsidRPr="00CE76FD">
                  <w:rPr>
                    <w:b/>
                    <w:bCs/>
                    <w:color w:val="1A85B1"/>
                  </w:rPr>
                  <w:instrText xml:space="preserve"> PAGE </w:instrText>
                </w:r>
                <w:r w:rsidRPr="00CE76FD">
                  <w:rPr>
                    <w:b/>
                    <w:bCs/>
                    <w:color w:val="1A85B1"/>
                  </w:rPr>
                  <w:fldChar w:fldCharType="separate"/>
                </w:r>
                <w:r w:rsidR="003B64A5">
                  <w:rPr>
                    <w:b/>
                    <w:bCs/>
                    <w:noProof/>
                    <w:color w:val="1A85B1"/>
                  </w:rPr>
                  <w:t>8</w:t>
                </w:r>
                <w:r w:rsidRPr="00CE76FD">
                  <w:rPr>
                    <w:b/>
                    <w:bCs/>
                    <w:color w:val="1A85B1"/>
                  </w:rPr>
                  <w:fldChar w:fldCharType="end"/>
                </w:r>
                <w:r w:rsidRPr="00CE76FD">
                  <w:rPr>
                    <w:color w:val="1A85B1"/>
                  </w:rPr>
                  <w:t xml:space="preserve"> of </w:t>
                </w:r>
                <w:r w:rsidRPr="00CE76FD">
                  <w:rPr>
                    <w:b/>
                    <w:bCs/>
                    <w:color w:val="1A85B1"/>
                  </w:rPr>
                  <w:fldChar w:fldCharType="begin"/>
                </w:r>
                <w:r w:rsidRPr="00CE76FD">
                  <w:rPr>
                    <w:b/>
                    <w:bCs/>
                    <w:color w:val="1A85B1"/>
                  </w:rPr>
                  <w:instrText xml:space="preserve"> NUMPAGES  </w:instrText>
                </w:r>
                <w:r w:rsidRPr="00CE76FD">
                  <w:rPr>
                    <w:b/>
                    <w:bCs/>
                    <w:color w:val="1A85B1"/>
                  </w:rPr>
                  <w:fldChar w:fldCharType="separate"/>
                </w:r>
                <w:r w:rsidR="003B64A5">
                  <w:rPr>
                    <w:b/>
                    <w:bCs/>
                    <w:noProof/>
                    <w:color w:val="1A85B1"/>
                  </w:rPr>
                  <w:t>8</w:t>
                </w:r>
                <w:r w:rsidRPr="00CE76FD">
                  <w:rPr>
                    <w:b/>
                    <w:bCs/>
                    <w:color w:val="1A85B1"/>
                  </w:rPr>
                  <w:fldChar w:fldCharType="end"/>
                </w:r>
              </w:p>
              <w:p w14:paraId="07DAD41F" w14:textId="7B9A9058" w:rsidR="00A16482" w:rsidRDefault="00A16482" w:rsidP="00A16482">
                <w:pPr>
                  <w:pStyle w:val="NoSpacing"/>
                </w:pPr>
              </w:p>
              <w:p w14:paraId="71086846" w14:textId="7A0C8C3A" w:rsidR="002E69E4" w:rsidRPr="008B11E3" w:rsidRDefault="00611126" w:rsidP="008B11E3">
                <w:pPr>
                  <w:pStyle w:val="NoSpacing"/>
                  <w:jc w:val="center"/>
                  <w:rPr>
                    <w:color w:val="808080" w:themeColor="background1" w:themeShade="80"/>
                  </w:rP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0EDA" w14:textId="77777777" w:rsidR="00F766C5" w:rsidRDefault="00F766C5" w:rsidP="00B80FA8">
      <w:pPr>
        <w:spacing w:after="0" w:line="240" w:lineRule="auto"/>
      </w:pPr>
      <w:r>
        <w:separator/>
      </w:r>
    </w:p>
  </w:footnote>
  <w:footnote w:type="continuationSeparator" w:id="0">
    <w:p w14:paraId="751218A6" w14:textId="77777777" w:rsidR="00F766C5" w:rsidRDefault="00F766C5"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2029" w14:textId="01BD2E15" w:rsidR="002E69E4" w:rsidRDefault="00382BBA" w:rsidP="00BA1546">
    <w:pPr>
      <w:pStyle w:val="Header"/>
    </w:pPr>
    <w:r>
      <w:rPr>
        <w:noProof/>
      </w:rPr>
      <w:drawing>
        <wp:anchor distT="0" distB="0" distL="114300" distR="114300" simplePos="0" relativeHeight="251661824" behindDoc="1" locked="0" layoutInCell="1" allowOverlap="1" wp14:anchorId="519D7F4B" wp14:editId="6895D912">
          <wp:simplePos x="0" y="0"/>
          <wp:positionH relativeFrom="margin">
            <wp:align>left</wp:align>
          </wp:positionH>
          <wp:positionV relativeFrom="paragraph">
            <wp:posOffset>-402590</wp:posOffset>
          </wp:positionV>
          <wp:extent cx="1990725" cy="685800"/>
          <wp:effectExtent l="0" t="0" r="9525" b="0"/>
          <wp:wrapTight wrapText="bothSides">
            <wp:wrapPolygon edited="0">
              <wp:start x="413" y="0"/>
              <wp:lineTo x="0" y="4800"/>
              <wp:lineTo x="0" y="21000"/>
              <wp:lineTo x="9095" y="21000"/>
              <wp:lineTo x="14056" y="21000"/>
              <wp:lineTo x="21497" y="21000"/>
              <wp:lineTo x="21497" y="3000"/>
              <wp:lineTo x="2067" y="0"/>
              <wp:lineTo x="413" y="0"/>
            </wp:wrapPolygon>
          </wp:wrapTight>
          <wp:docPr id="3" name="Picture 3" descr="logo_acorn"/>
          <wp:cNvGraphicFramePr/>
          <a:graphic xmlns:a="http://schemas.openxmlformats.org/drawingml/2006/main">
            <a:graphicData uri="http://schemas.openxmlformats.org/drawingml/2006/picture">
              <pic:pic xmlns:pic="http://schemas.openxmlformats.org/drawingml/2006/picture">
                <pic:nvPicPr>
                  <pic:cNvPr id="2" name="Picture 2" descr="logo_acor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46F64" w14:textId="77777777" w:rsidR="00A16482" w:rsidRDefault="00A16482" w:rsidP="00BA1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6941" w14:textId="29759632" w:rsidR="00BA1546" w:rsidRDefault="00B7511A">
    <w:pPr>
      <w:pStyle w:val="Header"/>
    </w:pPr>
    <w:r>
      <w:rPr>
        <w:noProof/>
      </w:rPr>
      <w:drawing>
        <wp:anchor distT="0" distB="0" distL="114300" distR="114300" simplePos="0" relativeHeight="251659776" behindDoc="1" locked="0" layoutInCell="1" allowOverlap="1" wp14:anchorId="1C9D8999" wp14:editId="16B50065">
          <wp:simplePos x="0" y="0"/>
          <wp:positionH relativeFrom="column">
            <wp:posOffset>1583690</wp:posOffset>
          </wp:positionH>
          <wp:positionV relativeFrom="paragraph">
            <wp:posOffset>-259715</wp:posOffset>
          </wp:positionV>
          <wp:extent cx="2571750" cy="885825"/>
          <wp:effectExtent l="0" t="0" r="0" b="9525"/>
          <wp:wrapTight wrapText="bothSides">
            <wp:wrapPolygon edited="0">
              <wp:start x="480" y="0"/>
              <wp:lineTo x="160" y="4181"/>
              <wp:lineTo x="320" y="10684"/>
              <wp:lineTo x="5920" y="14865"/>
              <wp:lineTo x="10720" y="14865"/>
              <wp:lineTo x="0" y="16723"/>
              <wp:lineTo x="0" y="21368"/>
              <wp:lineTo x="9120" y="21368"/>
              <wp:lineTo x="14080" y="21368"/>
              <wp:lineTo x="21440" y="21368"/>
              <wp:lineTo x="21440" y="16723"/>
              <wp:lineTo x="10720" y="14865"/>
              <wp:lineTo x="21440" y="13006"/>
              <wp:lineTo x="21440" y="3252"/>
              <wp:lineTo x="1920" y="0"/>
              <wp:lineTo x="480" y="0"/>
            </wp:wrapPolygon>
          </wp:wrapTight>
          <wp:docPr id="2" name="Picture 2" descr="logo_acorn"/>
          <wp:cNvGraphicFramePr/>
          <a:graphic xmlns:a="http://schemas.openxmlformats.org/drawingml/2006/main">
            <a:graphicData uri="http://schemas.openxmlformats.org/drawingml/2006/picture">
              <pic:pic xmlns:pic="http://schemas.openxmlformats.org/drawingml/2006/picture">
                <pic:nvPicPr>
                  <pic:cNvPr id="2" name="Picture 2" descr="logo_acor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5F1"/>
    <w:multiLevelType w:val="hybridMultilevel"/>
    <w:tmpl w:val="1758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3003"/>
    <w:multiLevelType w:val="hybridMultilevel"/>
    <w:tmpl w:val="58D0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991"/>
    <w:multiLevelType w:val="hybridMultilevel"/>
    <w:tmpl w:val="BE14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2106"/>
    <w:multiLevelType w:val="hybridMultilevel"/>
    <w:tmpl w:val="255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16F0B"/>
    <w:multiLevelType w:val="hybridMultilevel"/>
    <w:tmpl w:val="6E66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B051A"/>
    <w:multiLevelType w:val="hybridMultilevel"/>
    <w:tmpl w:val="C7F4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7F31F4"/>
    <w:multiLevelType w:val="hybridMultilevel"/>
    <w:tmpl w:val="4842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71CA5"/>
    <w:multiLevelType w:val="hybridMultilevel"/>
    <w:tmpl w:val="27380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F83411"/>
    <w:multiLevelType w:val="hybridMultilevel"/>
    <w:tmpl w:val="452A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23D3C"/>
    <w:multiLevelType w:val="hybridMultilevel"/>
    <w:tmpl w:val="4ED0F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FE0BD3"/>
    <w:multiLevelType w:val="hybridMultilevel"/>
    <w:tmpl w:val="8C6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E3BFE"/>
    <w:multiLevelType w:val="hybridMultilevel"/>
    <w:tmpl w:val="A084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C255A"/>
    <w:multiLevelType w:val="hybridMultilevel"/>
    <w:tmpl w:val="84041C10"/>
    <w:lvl w:ilvl="0" w:tplc="E0129BDA">
      <w:start w:val="153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E3B7E"/>
    <w:multiLevelType w:val="hybridMultilevel"/>
    <w:tmpl w:val="0F8A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A3E11"/>
    <w:multiLevelType w:val="hybridMultilevel"/>
    <w:tmpl w:val="9FEC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5538E"/>
    <w:multiLevelType w:val="hybridMultilevel"/>
    <w:tmpl w:val="751C2038"/>
    <w:lvl w:ilvl="0" w:tplc="B0A4F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37404"/>
    <w:multiLevelType w:val="hybridMultilevel"/>
    <w:tmpl w:val="5ABE9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396F28"/>
    <w:multiLevelType w:val="hybridMultilevel"/>
    <w:tmpl w:val="96A6E2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EF6F79"/>
    <w:multiLevelType w:val="hybridMultilevel"/>
    <w:tmpl w:val="99B8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31427F"/>
    <w:multiLevelType w:val="hybridMultilevel"/>
    <w:tmpl w:val="BB287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0E2881"/>
    <w:multiLevelType w:val="hybridMultilevel"/>
    <w:tmpl w:val="228A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17DF9"/>
    <w:multiLevelType w:val="hybridMultilevel"/>
    <w:tmpl w:val="F058F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717585"/>
    <w:multiLevelType w:val="hybridMultilevel"/>
    <w:tmpl w:val="F70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14757"/>
    <w:multiLevelType w:val="hybridMultilevel"/>
    <w:tmpl w:val="4506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37D67"/>
    <w:multiLevelType w:val="hybridMultilevel"/>
    <w:tmpl w:val="AA40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B03FEE"/>
    <w:multiLevelType w:val="hybridMultilevel"/>
    <w:tmpl w:val="B04E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A446D"/>
    <w:multiLevelType w:val="hybridMultilevel"/>
    <w:tmpl w:val="E43E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107F6E"/>
    <w:multiLevelType w:val="hybridMultilevel"/>
    <w:tmpl w:val="ECD42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0D6939"/>
    <w:multiLevelType w:val="hybridMultilevel"/>
    <w:tmpl w:val="B34A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87B79"/>
    <w:multiLevelType w:val="hybridMultilevel"/>
    <w:tmpl w:val="3F1E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41A72"/>
    <w:multiLevelType w:val="hybridMultilevel"/>
    <w:tmpl w:val="9D32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430E3A"/>
    <w:multiLevelType w:val="hybridMultilevel"/>
    <w:tmpl w:val="1A98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C097A"/>
    <w:multiLevelType w:val="hybridMultilevel"/>
    <w:tmpl w:val="F14ED0D8"/>
    <w:lvl w:ilvl="0" w:tplc="740C59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E663E"/>
    <w:multiLevelType w:val="hybridMultilevel"/>
    <w:tmpl w:val="3B3C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C5AF4"/>
    <w:multiLevelType w:val="hybridMultilevel"/>
    <w:tmpl w:val="21CAA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360267"/>
    <w:multiLevelType w:val="hybridMultilevel"/>
    <w:tmpl w:val="AA3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B5346"/>
    <w:multiLevelType w:val="hybridMultilevel"/>
    <w:tmpl w:val="F73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129A5"/>
    <w:multiLevelType w:val="hybridMultilevel"/>
    <w:tmpl w:val="A7D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A4E37"/>
    <w:multiLevelType w:val="hybridMultilevel"/>
    <w:tmpl w:val="97BCA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EB0C39"/>
    <w:multiLevelType w:val="hybridMultilevel"/>
    <w:tmpl w:val="39C48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DB6857"/>
    <w:multiLevelType w:val="hybridMultilevel"/>
    <w:tmpl w:val="4532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162DE"/>
    <w:multiLevelType w:val="hybridMultilevel"/>
    <w:tmpl w:val="5E80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B5EF5"/>
    <w:multiLevelType w:val="hybridMultilevel"/>
    <w:tmpl w:val="52ECB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9"/>
  </w:num>
  <w:num w:numId="2">
    <w:abstractNumId w:val="40"/>
  </w:num>
  <w:num w:numId="3">
    <w:abstractNumId w:val="30"/>
  </w:num>
  <w:num w:numId="4">
    <w:abstractNumId w:val="34"/>
  </w:num>
  <w:num w:numId="5">
    <w:abstractNumId w:val="7"/>
  </w:num>
  <w:num w:numId="6">
    <w:abstractNumId w:val="18"/>
  </w:num>
  <w:num w:numId="7">
    <w:abstractNumId w:val="8"/>
  </w:num>
  <w:num w:numId="8">
    <w:abstractNumId w:val="24"/>
  </w:num>
  <w:num w:numId="9">
    <w:abstractNumId w:val="5"/>
  </w:num>
  <w:num w:numId="10">
    <w:abstractNumId w:val="37"/>
  </w:num>
  <w:num w:numId="11">
    <w:abstractNumId w:val="4"/>
  </w:num>
  <w:num w:numId="12">
    <w:abstractNumId w:val="17"/>
  </w:num>
  <w:num w:numId="13">
    <w:abstractNumId w:val="27"/>
  </w:num>
  <w:num w:numId="14">
    <w:abstractNumId w:val="16"/>
  </w:num>
  <w:num w:numId="15">
    <w:abstractNumId w:val="9"/>
  </w:num>
  <w:num w:numId="16">
    <w:abstractNumId w:val="38"/>
  </w:num>
  <w:num w:numId="17">
    <w:abstractNumId w:val="28"/>
  </w:num>
  <w:num w:numId="18">
    <w:abstractNumId w:val="21"/>
  </w:num>
  <w:num w:numId="19">
    <w:abstractNumId w:val="11"/>
  </w:num>
  <w:num w:numId="20">
    <w:abstractNumId w:val="26"/>
  </w:num>
  <w:num w:numId="21">
    <w:abstractNumId w:val="19"/>
  </w:num>
  <w:num w:numId="22">
    <w:abstractNumId w:val="35"/>
  </w:num>
  <w:num w:numId="23">
    <w:abstractNumId w:val="42"/>
  </w:num>
  <w:num w:numId="24">
    <w:abstractNumId w:val="33"/>
  </w:num>
  <w:num w:numId="25">
    <w:abstractNumId w:val="1"/>
  </w:num>
  <w:num w:numId="26">
    <w:abstractNumId w:val="22"/>
  </w:num>
  <w:num w:numId="27">
    <w:abstractNumId w:val="31"/>
  </w:num>
  <w:num w:numId="28">
    <w:abstractNumId w:val="36"/>
  </w:num>
  <w:num w:numId="29">
    <w:abstractNumId w:val="3"/>
  </w:num>
  <w:num w:numId="30">
    <w:abstractNumId w:val="25"/>
  </w:num>
  <w:num w:numId="31">
    <w:abstractNumId w:val="13"/>
  </w:num>
  <w:num w:numId="32">
    <w:abstractNumId w:val="32"/>
  </w:num>
  <w:num w:numId="33">
    <w:abstractNumId w:val="41"/>
  </w:num>
  <w:num w:numId="34">
    <w:abstractNumId w:val="12"/>
  </w:num>
  <w:num w:numId="35">
    <w:abstractNumId w:val="15"/>
  </w:num>
  <w:num w:numId="36">
    <w:abstractNumId w:val="0"/>
  </w:num>
  <w:num w:numId="37">
    <w:abstractNumId w:val="29"/>
  </w:num>
  <w:num w:numId="38">
    <w:abstractNumId w:val="6"/>
  </w:num>
  <w:num w:numId="39">
    <w:abstractNumId w:val="20"/>
  </w:num>
  <w:num w:numId="40">
    <w:abstractNumId w:val="10"/>
  </w:num>
  <w:num w:numId="41">
    <w:abstractNumId w:val="2"/>
  </w:num>
  <w:num w:numId="42">
    <w:abstractNumId w:val="14"/>
  </w:num>
  <w:num w:numId="4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35"/>
    <w:rsid w:val="00000296"/>
    <w:rsid w:val="000031DD"/>
    <w:rsid w:val="00007A72"/>
    <w:rsid w:val="0003234E"/>
    <w:rsid w:val="00040983"/>
    <w:rsid w:val="000422A3"/>
    <w:rsid w:val="00045925"/>
    <w:rsid w:val="0006101A"/>
    <w:rsid w:val="00085AB0"/>
    <w:rsid w:val="00090E9D"/>
    <w:rsid w:val="00093037"/>
    <w:rsid w:val="00112005"/>
    <w:rsid w:val="00113FA3"/>
    <w:rsid w:val="00157608"/>
    <w:rsid w:val="001656B5"/>
    <w:rsid w:val="00165BA5"/>
    <w:rsid w:val="00190965"/>
    <w:rsid w:val="001C54A6"/>
    <w:rsid w:val="001C589B"/>
    <w:rsid w:val="001D1BE6"/>
    <w:rsid w:val="001D6546"/>
    <w:rsid w:val="0020119C"/>
    <w:rsid w:val="00222D4C"/>
    <w:rsid w:val="00231A53"/>
    <w:rsid w:val="00245757"/>
    <w:rsid w:val="0025733B"/>
    <w:rsid w:val="002577E7"/>
    <w:rsid w:val="002609F7"/>
    <w:rsid w:val="00290A41"/>
    <w:rsid w:val="002910FE"/>
    <w:rsid w:val="002B4006"/>
    <w:rsid w:val="002B571E"/>
    <w:rsid w:val="002D2423"/>
    <w:rsid w:val="002E69E4"/>
    <w:rsid w:val="002E7C35"/>
    <w:rsid w:val="00301EA0"/>
    <w:rsid w:val="00337578"/>
    <w:rsid w:val="00354974"/>
    <w:rsid w:val="0037206A"/>
    <w:rsid w:val="00382BBA"/>
    <w:rsid w:val="003A41A5"/>
    <w:rsid w:val="003A4611"/>
    <w:rsid w:val="003A7026"/>
    <w:rsid w:val="003B64A5"/>
    <w:rsid w:val="003F3A10"/>
    <w:rsid w:val="003F3D80"/>
    <w:rsid w:val="00405A14"/>
    <w:rsid w:val="004216CA"/>
    <w:rsid w:val="00433516"/>
    <w:rsid w:val="00434BA1"/>
    <w:rsid w:val="00441400"/>
    <w:rsid w:val="00444E98"/>
    <w:rsid w:val="00447CB9"/>
    <w:rsid w:val="00461F21"/>
    <w:rsid w:val="004632C0"/>
    <w:rsid w:val="0046688F"/>
    <w:rsid w:val="00472A07"/>
    <w:rsid w:val="00474770"/>
    <w:rsid w:val="004A0E39"/>
    <w:rsid w:val="004A4CE3"/>
    <w:rsid w:val="004E3F63"/>
    <w:rsid w:val="004E63E2"/>
    <w:rsid w:val="0050118C"/>
    <w:rsid w:val="00501669"/>
    <w:rsid w:val="00510132"/>
    <w:rsid w:val="00511041"/>
    <w:rsid w:val="00511DF9"/>
    <w:rsid w:val="0051206E"/>
    <w:rsid w:val="00524CC2"/>
    <w:rsid w:val="00541E54"/>
    <w:rsid w:val="0054348E"/>
    <w:rsid w:val="00544CE4"/>
    <w:rsid w:val="00544FC9"/>
    <w:rsid w:val="00556CF1"/>
    <w:rsid w:val="0056575D"/>
    <w:rsid w:val="005812B7"/>
    <w:rsid w:val="0058564A"/>
    <w:rsid w:val="005C182B"/>
    <w:rsid w:val="00611126"/>
    <w:rsid w:val="00616C9D"/>
    <w:rsid w:val="00617AB0"/>
    <w:rsid w:val="006336A9"/>
    <w:rsid w:val="00660093"/>
    <w:rsid w:val="00666669"/>
    <w:rsid w:val="006717B9"/>
    <w:rsid w:val="006A3658"/>
    <w:rsid w:val="006B2C49"/>
    <w:rsid w:val="006C69B4"/>
    <w:rsid w:val="006E02CD"/>
    <w:rsid w:val="006E62FE"/>
    <w:rsid w:val="00710551"/>
    <w:rsid w:val="007244B2"/>
    <w:rsid w:val="0072628B"/>
    <w:rsid w:val="00732ACB"/>
    <w:rsid w:val="0075320E"/>
    <w:rsid w:val="0075604E"/>
    <w:rsid w:val="007763DE"/>
    <w:rsid w:val="0079002C"/>
    <w:rsid w:val="0079200F"/>
    <w:rsid w:val="007B0728"/>
    <w:rsid w:val="007B1D05"/>
    <w:rsid w:val="007B4367"/>
    <w:rsid w:val="007C645E"/>
    <w:rsid w:val="007D2FAC"/>
    <w:rsid w:val="007D4ACD"/>
    <w:rsid w:val="007F1D50"/>
    <w:rsid w:val="0082766F"/>
    <w:rsid w:val="00831283"/>
    <w:rsid w:val="00840D0D"/>
    <w:rsid w:val="00854609"/>
    <w:rsid w:val="00860083"/>
    <w:rsid w:val="008709C4"/>
    <w:rsid w:val="008A4504"/>
    <w:rsid w:val="008B11E3"/>
    <w:rsid w:val="008C23F1"/>
    <w:rsid w:val="008D3040"/>
    <w:rsid w:val="008F528D"/>
    <w:rsid w:val="00912113"/>
    <w:rsid w:val="00912FF2"/>
    <w:rsid w:val="009256DE"/>
    <w:rsid w:val="0093595B"/>
    <w:rsid w:val="00976535"/>
    <w:rsid w:val="009874D1"/>
    <w:rsid w:val="00987EA8"/>
    <w:rsid w:val="009948E1"/>
    <w:rsid w:val="009E0935"/>
    <w:rsid w:val="00A00CAC"/>
    <w:rsid w:val="00A16482"/>
    <w:rsid w:val="00A20FEA"/>
    <w:rsid w:val="00A30DCE"/>
    <w:rsid w:val="00A31146"/>
    <w:rsid w:val="00A32971"/>
    <w:rsid w:val="00A5005D"/>
    <w:rsid w:val="00A721F7"/>
    <w:rsid w:val="00A740FC"/>
    <w:rsid w:val="00A759E0"/>
    <w:rsid w:val="00A75DFB"/>
    <w:rsid w:val="00A8164C"/>
    <w:rsid w:val="00A854CC"/>
    <w:rsid w:val="00AD6233"/>
    <w:rsid w:val="00AE3334"/>
    <w:rsid w:val="00AE3F81"/>
    <w:rsid w:val="00AF25CA"/>
    <w:rsid w:val="00AF4306"/>
    <w:rsid w:val="00B17EB7"/>
    <w:rsid w:val="00B20B5A"/>
    <w:rsid w:val="00B323E2"/>
    <w:rsid w:val="00B32EB8"/>
    <w:rsid w:val="00B3706F"/>
    <w:rsid w:val="00B41718"/>
    <w:rsid w:val="00B60247"/>
    <w:rsid w:val="00B7511A"/>
    <w:rsid w:val="00B80FA8"/>
    <w:rsid w:val="00B8114E"/>
    <w:rsid w:val="00B94C60"/>
    <w:rsid w:val="00B97D9A"/>
    <w:rsid w:val="00BA1546"/>
    <w:rsid w:val="00BA4B15"/>
    <w:rsid w:val="00BB32CA"/>
    <w:rsid w:val="00BC629A"/>
    <w:rsid w:val="00BE2C01"/>
    <w:rsid w:val="00C016A5"/>
    <w:rsid w:val="00C02F4B"/>
    <w:rsid w:val="00C0300C"/>
    <w:rsid w:val="00C03456"/>
    <w:rsid w:val="00C04EC9"/>
    <w:rsid w:val="00C11AE1"/>
    <w:rsid w:val="00C24CAF"/>
    <w:rsid w:val="00C25C44"/>
    <w:rsid w:val="00C41D35"/>
    <w:rsid w:val="00C43EC0"/>
    <w:rsid w:val="00C67386"/>
    <w:rsid w:val="00C74D09"/>
    <w:rsid w:val="00CA050B"/>
    <w:rsid w:val="00CC2466"/>
    <w:rsid w:val="00CC6BC2"/>
    <w:rsid w:val="00D06DC2"/>
    <w:rsid w:val="00D112BA"/>
    <w:rsid w:val="00D17AAB"/>
    <w:rsid w:val="00D35CDE"/>
    <w:rsid w:val="00D52CE7"/>
    <w:rsid w:val="00D81ED8"/>
    <w:rsid w:val="00DA484A"/>
    <w:rsid w:val="00DC12FA"/>
    <w:rsid w:val="00DC230D"/>
    <w:rsid w:val="00DE0AE8"/>
    <w:rsid w:val="00DE589D"/>
    <w:rsid w:val="00DF01D6"/>
    <w:rsid w:val="00DF7996"/>
    <w:rsid w:val="00E314E2"/>
    <w:rsid w:val="00E4357D"/>
    <w:rsid w:val="00ED678C"/>
    <w:rsid w:val="00EE1FBC"/>
    <w:rsid w:val="00EF21B7"/>
    <w:rsid w:val="00F01443"/>
    <w:rsid w:val="00F02C48"/>
    <w:rsid w:val="00F07F56"/>
    <w:rsid w:val="00F35132"/>
    <w:rsid w:val="00F75C57"/>
    <w:rsid w:val="00F766C5"/>
    <w:rsid w:val="00F85A74"/>
    <w:rsid w:val="00F9193F"/>
    <w:rsid w:val="00FB1F70"/>
    <w:rsid w:val="00FC24C6"/>
    <w:rsid w:val="00FC4EF6"/>
    <w:rsid w:val="00FD424F"/>
    <w:rsid w:val="00FE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BC30"/>
  <w15:docId w15:val="{659C14B3-1329-4B10-85D6-0F17BCE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B80FA8"/>
    <w:rPr>
      <w:rFonts w:ascii="Calibri" w:eastAsia="Calibri" w:hAnsi="Calibri" w:cs="Calibri"/>
      <w:sz w:val="24"/>
      <w:szCs w:val="24"/>
    </w:rPr>
  </w:style>
  <w:style w:type="paragraph" w:styleId="Heading1">
    <w:name w:val="heading 1"/>
    <w:basedOn w:val="Normal"/>
    <w:next w:val="Normal"/>
    <w:link w:val="Heading1Char"/>
    <w:qFormat/>
    <w:rsid w:val="0000029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eastAsia="Times New Roman" w:cs="Times New Roman"/>
      <w:b/>
      <w:bCs/>
      <w:caps/>
      <w:color w:val="FFFFFF"/>
      <w:spacing w:val="15"/>
      <w:sz w:val="22"/>
      <w:szCs w:val="22"/>
      <w:lang w:bidi="en-US"/>
    </w:rPr>
  </w:style>
  <w:style w:type="paragraph" w:styleId="Heading2">
    <w:name w:val="heading 2"/>
    <w:basedOn w:val="Normal"/>
    <w:next w:val="Normal"/>
    <w:link w:val="Heading2Char"/>
    <w:qFormat/>
    <w:rsid w:val="00EE1FBC"/>
    <w:pPr>
      <w:spacing w:before="200" w:after="0"/>
      <w:outlineLvl w:val="1"/>
    </w:pPr>
    <w:rPr>
      <w:rFonts w:eastAsia="Times New Roman" w:cs="Times New Roman"/>
      <w:b/>
      <w:color w:val="1A85B1"/>
      <w:spacing w:val="15"/>
      <w:sz w:val="36"/>
      <w:szCs w:val="22"/>
      <w:lang w:bidi="en-US"/>
    </w:rPr>
  </w:style>
  <w:style w:type="paragraph" w:styleId="Heading3">
    <w:name w:val="heading 3"/>
    <w:basedOn w:val="Normal"/>
    <w:next w:val="Normal"/>
    <w:link w:val="Heading3Char"/>
    <w:qFormat/>
    <w:rsid w:val="00000296"/>
    <w:pPr>
      <w:keepNext/>
      <w:tabs>
        <w:tab w:val="num" w:pos="720"/>
      </w:tabs>
      <w:spacing w:before="240" w:after="60" w:line="240" w:lineRule="auto"/>
      <w:ind w:left="720" w:hanging="720"/>
      <w:outlineLvl w:val="2"/>
    </w:pPr>
    <w:rPr>
      <w:rFonts w:ascii="Arial" w:eastAsia="Times New Roman" w:hAnsi="Arial" w:cs="Times New Roman"/>
      <w:szCs w:val="20"/>
    </w:rPr>
  </w:style>
  <w:style w:type="paragraph" w:styleId="Heading4">
    <w:name w:val="heading 4"/>
    <w:basedOn w:val="Normal"/>
    <w:next w:val="Normal"/>
    <w:link w:val="Heading4Char"/>
    <w:uiPriority w:val="9"/>
    <w:unhideWhenUsed/>
    <w:qFormat/>
    <w:rsid w:val="008276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000296"/>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link w:val="NoSpacingChar"/>
    <w:uiPriority w:val="1"/>
    <w:qFormat/>
    <w:rsid w:val="00B80FA8"/>
    <w:pPr>
      <w:spacing w:after="0" w:line="240" w:lineRule="auto"/>
    </w:pPr>
  </w:style>
  <w:style w:type="table" w:styleId="TableGrid">
    <w:name w:val="Table Grid"/>
    <w:basedOn w:val="TableNormal"/>
    <w:uiPriority w:val="9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8D"/>
    <w:pPr>
      <w:ind w:left="720"/>
      <w:contextualSpacing/>
    </w:pPr>
  </w:style>
  <w:style w:type="character" w:customStyle="1" w:styleId="Heading1Char">
    <w:name w:val="Heading 1 Char"/>
    <w:basedOn w:val="DefaultParagraphFont"/>
    <w:link w:val="Heading1"/>
    <w:rsid w:val="00000296"/>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rsid w:val="00EE1FBC"/>
    <w:rPr>
      <w:rFonts w:ascii="Calibri" w:eastAsia="Times New Roman" w:hAnsi="Calibri" w:cs="Times New Roman"/>
      <w:b/>
      <w:color w:val="1A85B1"/>
      <w:spacing w:val="15"/>
      <w:sz w:val="36"/>
      <w:lang w:bidi="en-US"/>
    </w:rPr>
  </w:style>
  <w:style w:type="character" w:customStyle="1" w:styleId="Heading3Char">
    <w:name w:val="Heading 3 Char"/>
    <w:basedOn w:val="DefaultParagraphFont"/>
    <w:link w:val="Heading3"/>
    <w:rsid w:val="00000296"/>
    <w:rPr>
      <w:rFonts w:ascii="Arial" w:eastAsia="Times New Roman" w:hAnsi="Arial" w:cs="Times New Roman"/>
      <w:sz w:val="24"/>
      <w:szCs w:val="20"/>
    </w:rPr>
  </w:style>
  <w:style w:type="character" w:customStyle="1" w:styleId="Heading6Char">
    <w:name w:val="Heading 6 Char"/>
    <w:basedOn w:val="DefaultParagraphFont"/>
    <w:link w:val="Heading6"/>
    <w:rsid w:val="00000296"/>
    <w:rPr>
      <w:rFonts w:asciiTheme="majorHAnsi" w:eastAsiaTheme="majorEastAsia" w:hAnsiTheme="majorHAnsi" w:cstheme="majorBidi"/>
      <w:i/>
      <w:iCs/>
      <w:color w:val="243F60" w:themeColor="accent1" w:themeShade="7F"/>
      <w:sz w:val="24"/>
      <w:szCs w:val="24"/>
      <w:lang w:eastAsia="en-GB"/>
    </w:rPr>
  </w:style>
  <w:style w:type="paragraph" w:styleId="BodyText">
    <w:name w:val="Body Text"/>
    <w:basedOn w:val="Normal"/>
    <w:link w:val="BodyTextChar"/>
    <w:rsid w:val="00000296"/>
    <w:pPr>
      <w:spacing w:before="200" w:after="120"/>
    </w:pPr>
    <w:rPr>
      <w:rFonts w:eastAsia="Times New Roman" w:cs="Times New Roman"/>
      <w:sz w:val="20"/>
      <w:szCs w:val="20"/>
      <w:lang w:val="en-US" w:bidi="en-US"/>
    </w:rPr>
  </w:style>
  <w:style w:type="character" w:customStyle="1" w:styleId="BodyTextChar">
    <w:name w:val="Body Text Char"/>
    <w:basedOn w:val="DefaultParagraphFont"/>
    <w:link w:val="BodyText"/>
    <w:rsid w:val="00000296"/>
    <w:rPr>
      <w:rFonts w:ascii="Calibri" w:eastAsia="Times New Roman" w:hAnsi="Calibri" w:cs="Times New Roman"/>
      <w:sz w:val="20"/>
      <w:szCs w:val="20"/>
      <w:lang w:val="en-US" w:bidi="en-US"/>
    </w:rPr>
  </w:style>
  <w:style w:type="character" w:styleId="Hyperlink">
    <w:name w:val="Hyperlink"/>
    <w:basedOn w:val="DefaultParagraphFont"/>
    <w:unhideWhenUsed/>
    <w:rsid w:val="00000296"/>
    <w:rPr>
      <w:color w:val="0000FF"/>
      <w:u w:val="single"/>
    </w:rPr>
  </w:style>
  <w:style w:type="paragraph" w:styleId="BodyText2">
    <w:name w:val="Body Text 2"/>
    <w:basedOn w:val="Normal"/>
    <w:link w:val="BodyText2Char"/>
    <w:rsid w:val="00000296"/>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000296"/>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0002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0296"/>
    <w:rPr>
      <w:rFonts w:ascii="Times New Roman" w:eastAsia="Times New Roman" w:hAnsi="Times New Roman" w:cs="Times New Roman"/>
      <w:sz w:val="20"/>
      <w:szCs w:val="20"/>
    </w:rPr>
  </w:style>
  <w:style w:type="character" w:styleId="FootnoteReference">
    <w:name w:val="footnote reference"/>
    <w:basedOn w:val="DefaultParagraphFont"/>
    <w:rsid w:val="00000296"/>
    <w:rPr>
      <w:vertAlign w:val="superscript"/>
    </w:rPr>
  </w:style>
  <w:style w:type="character" w:customStyle="1" w:styleId="Heading4Char">
    <w:name w:val="Heading 4 Char"/>
    <w:basedOn w:val="DefaultParagraphFont"/>
    <w:link w:val="Heading4"/>
    <w:uiPriority w:val="9"/>
    <w:rsid w:val="0082766F"/>
    <w:rPr>
      <w:rFonts w:asciiTheme="majorHAnsi" w:eastAsiaTheme="majorEastAsia" w:hAnsiTheme="majorHAnsi" w:cstheme="majorBidi"/>
      <w:b/>
      <w:bCs/>
      <w:i/>
      <w:iCs/>
      <w:color w:val="4F81BD" w:themeColor="accent1"/>
      <w:sz w:val="24"/>
      <w:szCs w:val="24"/>
    </w:rPr>
  </w:style>
  <w:style w:type="character" w:customStyle="1" w:styleId="UnresolvedMention1">
    <w:name w:val="Unresolved Mention1"/>
    <w:basedOn w:val="DefaultParagraphFont"/>
    <w:uiPriority w:val="99"/>
    <w:semiHidden/>
    <w:unhideWhenUsed/>
    <w:rsid w:val="00444E98"/>
    <w:rPr>
      <w:color w:val="605E5C"/>
      <w:shd w:val="clear" w:color="auto" w:fill="E1DFDD"/>
    </w:rPr>
  </w:style>
  <w:style w:type="character" w:customStyle="1" w:styleId="NoSpacingChar">
    <w:name w:val="No Spacing Char"/>
    <w:link w:val="NoSpacing"/>
    <w:uiPriority w:val="1"/>
    <w:locked/>
    <w:rsid w:val="0006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28213-CE5C-45C3-A48F-0F209F79B046}">
  <ds:schemaRefs>
    <ds:schemaRef ds:uri="http://schemas.microsoft.com/sharepoint/v3/contenttype/forms"/>
  </ds:schemaRefs>
</ds:datastoreItem>
</file>

<file path=customXml/itemProps2.xml><?xml version="1.0" encoding="utf-8"?>
<ds:datastoreItem xmlns:ds="http://schemas.openxmlformats.org/officeDocument/2006/customXml" ds:itemID="{F6A9BB58-92B0-45AA-A302-D6627C7705AE}">
  <ds:schemaRefs>
    <ds:schemaRef ds:uri="http://schemas.microsoft.com/office/2006/metadata/properties"/>
    <ds:schemaRef ds:uri="http://schemas.microsoft.com/office/infopath/2007/PartnerControls"/>
    <ds:schemaRef ds:uri="0011b0cf-3f8a-4193-a6aa-766b0c9464eb"/>
  </ds:schemaRefs>
</ds:datastoreItem>
</file>

<file path=customXml/itemProps3.xml><?xml version="1.0" encoding="utf-8"?>
<ds:datastoreItem xmlns:ds="http://schemas.openxmlformats.org/officeDocument/2006/customXml" ds:itemID="{0B46DA29-747B-4CBC-88BF-12DE8859B2D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CG01 - Safeguarding Children Policy</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Sarah Tattersall</cp:lastModifiedBy>
  <cp:revision>2</cp:revision>
  <cp:lastPrinted>2022-11-03T09:39:00Z</cp:lastPrinted>
  <dcterms:created xsi:type="dcterms:W3CDTF">2023-01-05T14:15:00Z</dcterms:created>
  <dcterms:modified xsi:type="dcterms:W3CDTF">2023-01-05T14:15:00Z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